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436972" w:rsidRPr="00C132AC" w:rsidRDefault="00436972" w:rsidP="0083157A">
      <w:pPr>
        <w:spacing w:after="0" w:line="360" w:lineRule="auto"/>
        <w:jc w:val="both"/>
        <w:rPr>
          <w:rFonts w:ascii="Arial" w:hAnsi="Arial" w:cs="Arial"/>
          <w:b/>
          <w:bCs/>
          <w:sz w:val="24"/>
          <w:szCs w:val="24"/>
        </w:rPr>
      </w:pPr>
    </w:p>
    <w:p w:rsidR="00937A31" w:rsidRPr="00B508D9" w:rsidRDefault="004B326F" w:rsidP="0083157A">
      <w:pPr>
        <w:spacing w:after="0" w:line="360" w:lineRule="auto"/>
        <w:jc w:val="both"/>
        <w:rPr>
          <w:rFonts w:ascii="Arial" w:hAnsi="Arial" w:cs="Arial"/>
          <w:color w:val="FF0000"/>
          <w:sz w:val="24"/>
          <w:szCs w:val="24"/>
        </w:rPr>
      </w:pPr>
      <w:r w:rsidRPr="0065685B">
        <w:rPr>
          <w:rFonts w:ascii="Arial" w:hAnsi="Arial" w:cs="Arial"/>
          <w:b/>
          <w:i/>
          <w:sz w:val="24"/>
          <w:szCs w:val="24"/>
        </w:rPr>
        <w:t xml:space="preserve">Implantação do Sistema de Registro de Preços, pelo prazo de 12 meses, para eventual aquisição de </w:t>
      </w:r>
      <w:r w:rsidR="009722D4">
        <w:rPr>
          <w:rFonts w:ascii="Arial" w:hAnsi="Arial" w:cs="Arial"/>
          <w:b/>
          <w:i/>
          <w:sz w:val="24"/>
          <w:szCs w:val="24"/>
        </w:rPr>
        <w:t>materiais diversos utilizados em ramais prediais (união e adaptadores polietileno), redes em PVC (colares de tomada e tês de serviço integrado) e acessórios para hidrômetros (arruelas de vedação, porcas e tubetes)</w:t>
      </w:r>
      <w:r w:rsidRPr="0065685B">
        <w:rPr>
          <w:rFonts w:ascii="Arial" w:hAnsi="Arial" w:cs="Arial"/>
          <w:b/>
          <w:i/>
          <w:sz w:val="24"/>
          <w:szCs w:val="24"/>
        </w:rPr>
        <w:t>, para uso da CESAMA</w:t>
      </w:r>
      <w:r w:rsidR="00B508D9"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50C10" w:rsidRDefault="00A37599" w:rsidP="0083157A">
      <w:pPr>
        <w:spacing w:after="0" w:line="360" w:lineRule="auto"/>
        <w:jc w:val="both"/>
        <w:rPr>
          <w:rFonts w:ascii="Arial" w:hAnsi="Arial" w:cs="Arial"/>
          <w:sz w:val="24"/>
          <w:szCs w:val="24"/>
          <w:lang w:eastAsia="pt-BR"/>
        </w:rPr>
      </w:pPr>
      <w:r w:rsidRPr="00C132AC">
        <w:rPr>
          <w:rFonts w:ascii="Arial" w:hAnsi="Arial" w:cs="Arial"/>
          <w:sz w:val="24"/>
          <w:szCs w:val="24"/>
        </w:rPr>
        <w:t xml:space="preserve">2.1 </w:t>
      </w:r>
      <w:r w:rsidR="004B326F">
        <w:rPr>
          <w:rFonts w:ascii="Arial" w:hAnsi="Arial" w:cs="Arial"/>
          <w:sz w:val="24"/>
          <w:szCs w:val="24"/>
          <w:lang w:eastAsia="pt-BR"/>
        </w:rPr>
        <w:t xml:space="preserve">Aquisição de materiais para reposição do estoque </w:t>
      </w:r>
      <w:r w:rsidR="004B326F">
        <w:rPr>
          <w:rFonts w:ascii="Arial" w:hAnsi="Arial" w:cs="Arial"/>
          <w:bCs/>
          <w:sz w:val="24"/>
          <w:szCs w:val="24"/>
        </w:rPr>
        <w:t>conforme quantidades e especificações descritas no item 04 (anexo)</w:t>
      </w:r>
      <w:r w:rsidR="004B326F">
        <w:rPr>
          <w:rFonts w:ascii="Arial" w:hAnsi="Arial" w:cs="Arial"/>
          <w:sz w:val="24"/>
          <w:szCs w:val="24"/>
          <w:lang w:eastAsia="pt-BR"/>
        </w:rPr>
        <w:t>, os itens são utilizados em manutenções</w:t>
      </w:r>
      <w:r w:rsidR="009722D4">
        <w:rPr>
          <w:rFonts w:ascii="Arial" w:hAnsi="Arial" w:cs="Arial"/>
          <w:sz w:val="24"/>
          <w:szCs w:val="24"/>
          <w:lang w:eastAsia="pt-BR"/>
        </w:rPr>
        <w:t xml:space="preserve"> em ramais prediais e redes de água, assim como em novas ligações</w:t>
      </w:r>
      <w:r w:rsidR="00A50C10">
        <w:rPr>
          <w:rFonts w:ascii="Arial" w:hAnsi="Arial" w:cs="Arial"/>
          <w:sz w:val="24"/>
          <w:szCs w:val="24"/>
          <w:lang w:eastAsia="pt-BR"/>
        </w:rPr>
        <w:t>.</w:t>
      </w:r>
    </w:p>
    <w:p w:rsidR="004B326F" w:rsidRDefault="004B326F" w:rsidP="0083157A">
      <w:pPr>
        <w:spacing w:after="0" w:line="360" w:lineRule="auto"/>
        <w:jc w:val="both"/>
        <w:rPr>
          <w:rFonts w:ascii="Arial" w:hAnsi="Arial" w:cs="Arial"/>
          <w:sz w:val="24"/>
          <w:szCs w:val="24"/>
          <w:lang w:eastAsia="pt-BR"/>
        </w:rPr>
      </w:pPr>
    </w:p>
    <w:p w:rsidR="004B326F" w:rsidRPr="004B326F" w:rsidRDefault="004B326F" w:rsidP="004B326F">
      <w:pPr>
        <w:spacing w:after="0" w:line="360" w:lineRule="auto"/>
        <w:jc w:val="both"/>
        <w:rPr>
          <w:rStyle w:val="Forte"/>
          <w:rFonts w:ascii="Arial" w:hAnsi="Arial" w:cs="Arial"/>
          <w:b w:val="0"/>
          <w:bCs w:val="0"/>
          <w:sz w:val="24"/>
          <w:szCs w:val="24"/>
        </w:rPr>
      </w:pPr>
      <w:r w:rsidRPr="004B326F">
        <w:rPr>
          <w:rFonts w:ascii="Arial" w:hAnsi="Arial" w:cs="Arial"/>
          <w:sz w:val="24"/>
          <w:szCs w:val="24"/>
          <w:lang w:eastAsia="pt-BR"/>
        </w:rPr>
        <w:t>2.2</w:t>
      </w:r>
      <w:r w:rsidR="00EE5BF1">
        <w:rPr>
          <w:rFonts w:ascii="Arial" w:hAnsi="Arial" w:cs="Arial"/>
          <w:sz w:val="24"/>
          <w:szCs w:val="24"/>
          <w:lang w:eastAsia="pt-BR"/>
        </w:rPr>
        <w:t xml:space="preserve"> </w:t>
      </w:r>
      <w:r w:rsidRPr="004B326F">
        <w:rPr>
          <w:rStyle w:val="Forte"/>
          <w:rFonts w:ascii="Arial" w:hAnsi="Arial" w:cs="Arial"/>
          <w:b w:val="0"/>
          <w:bCs w:val="0"/>
          <w:sz w:val="24"/>
          <w:szCs w:val="24"/>
        </w:rPr>
        <w:t>Considerando a recomendação para o ETP em regulamento interno da Companhia</w:t>
      </w:r>
      <w:proofErr w:type="gramStart"/>
      <w:r w:rsidRPr="004B326F">
        <w:rPr>
          <w:rStyle w:val="Forte"/>
          <w:rFonts w:ascii="Arial" w:hAnsi="Arial" w:cs="Arial"/>
          <w:b w:val="0"/>
          <w:bCs w:val="0"/>
          <w:sz w:val="24"/>
          <w:szCs w:val="24"/>
        </w:rPr>
        <w:t>, informo</w:t>
      </w:r>
      <w:proofErr w:type="gramEnd"/>
      <w:r w:rsidRPr="004B326F">
        <w:rPr>
          <w:rStyle w:val="Forte"/>
          <w:rFonts w:ascii="Arial" w:hAnsi="Arial" w:cs="Arial"/>
          <w:b w:val="0"/>
          <w:bCs w:val="0"/>
          <w:sz w:val="24"/>
          <w:szCs w:val="24"/>
        </w:rPr>
        <w:t xml:space="preserve"> que a presente aquisição visa a reposição do estoque para atender a demanda da Companhia. Os materiais solicitados são bens comuns e atendem a sua finalidade e são adquiridos conforme especificações em conformidade com normas ABNT. O Estudo Técnico Preliminar será motivado pelos departamentos, sobretudo a área operacional, caso haja novas soluções no mercado que possam otimizar os trabalhos </w:t>
      </w:r>
      <w:r w:rsidR="009722D4">
        <w:rPr>
          <w:rStyle w:val="Forte"/>
          <w:rFonts w:ascii="Arial" w:hAnsi="Arial" w:cs="Arial"/>
          <w:b w:val="0"/>
          <w:bCs w:val="0"/>
          <w:sz w:val="24"/>
          <w:szCs w:val="24"/>
        </w:rPr>
        <w:t>ou</w:t>
      </w:r>
      <w:r w:rsidRPr="004B326F">
        <w:rPr>
          <w:rStyle w:val="Forte"/>
          <w:rFonts w:ascii="Arial" w:hAnsi="Arial" w:cs="Arial"/>
          <w:b w:val="0"/>
          <w:bCs w:val="0"/>
          <w:sz w:val="24"/>
          <w:szCs w:val="24"/>
        </w:rPr>
        <w:t xml:space="preserve"> com melhor custo benefício.</w:t>
      </w:r>
    </w:p>
    <w:p w:rsidR="004B326F" w:rsidRDefault="004B326F"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4B326F">
        <w:rPr>
          <w:rFonts w:ascii="Arial" w:hAnsi="Arial" w:cs="Arial"/>
          <w:sz w:val="24"/>
          <w:szCs w:val="24"/>
        </w:rPr>
        <w:t>3</w:t>
      </w:r>
      <w:r w:rsidR="00EE5BF1">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F86486" w:rsidRPr="0037072E">
        <w:rPr>
          <w:rFonts w:ascii="Arial" w:hAnsi="Arial" w:cs="Arial"/>
          <w:bCs/>
          <w:sz w:val="24"/>
          <w:szCs w:val="24"/>
        </w:rPr>
        <w:t>demandada para pedido único ou programado</w:t>
      </w:r>
      <w:proofErr w:type="gramEnd"/>
      <w:r w:rsidR="00F86486" w:rsidRPr="0037072E">
        <w:rPr>
          <w:rFonts w:ascii="Arial" w:hAnsi="Arial" w:cs="Arial"/>
          <w:bCs/>
          <w:sz w:val="24"/>
          <w:szCs w:val="24"/>
        </w:rPr>
        <w:t xml:space="preserve">, visto que a </w:t>
      </w:r>
      <w:r w:rsidR="00F86486" w:rsidRPr="0037072E">
        <w:rPr>
          <w:rFonts w:ascii="Arial" w:hAnsi="Arial" w:cs="Arial"/>
          <w:bCs/>
          <w:sz w:val="24"/>
          <w:szCs w:val="24"/>
        </w:rPr>
        <w:lastRenderedPageBreak/>
        <w:t xml:space="preserve">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combinado com</w:t>
      </w:r>
      <w:r w:rsidR="005E4EA0">
        <w:rPr>
          <w:rFonts w:ascii="Arial" w:hAnsi="Arial" w:cs="Arial"/>
          <w:bCs/>
          <w:sz w:val="24"/>
          <w:szCs w:val="24"/>
        </w:rPr>
        <w:t xml:space="preserve"> o </w:t>
      </w:r>
      <w:r w:rsidR="00F86486" w:rsidRPr="0037072E">
        <w:rPr>
          <w:rFonts w:ascii="Arial" w:hAnsi="Arial" w:cs="Arial"/>
          <w:bCs/>
          <w:sz w:val="24"/>
          <w:szCs w:val="24"/>
        </w:rPr>
        <w:t xml:space="preserve">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4B326F">
        <w:rPr>
          <w:rFonts w:ascii="Arial" w:hAnsi="Arial" w:cs="Arial"/>
          <w:color w:val="000000" w:themeColor="text1"/>
          <w:sz w:val="24"/>
          <w:szCs w:val="24"/>
        </w:rPr>
        <w:t>4</w:t>
      </w:r>
      <w:r w:rsidR="00EE5BF1">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4B326F">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2F2B35" w:rsidRPr="004B326F" w:rsidRDefault="004B326F" w:rsidP="00A07C94">
      <w:pPr>
        <w:suppressAutoHyphens/>
        <w:spacing w:after="0" w:line="360" w:lineRule="auto"/>
        <w:jc w:val="both"/>
        <w:rPr>
          <w:rStyle w:val="markedcontent"/>
          <w:rFonts w:ascii="Arial" w:hAnsi="Arial" w:cs="Arial"/>
          <w:b/>
          <w:bCs/>
          <w:sz w:val="24"/>
          <w:szCs w:val="24"/>
        </w:rPr>
      </w:pPr>
      <w:r w:rsidRPr="004B326F">
        <w:rPr>
          <w:rStyle w:val="markedcontent"/>
          <w:rFonts w:ascii="Arial" w:hAnsi="Arial" w:cs="Arial"/>
          <w:b/>
          <w:bCs/>
          <w:sz w:val="24"/>
          <w:szCs w:val="24"/>
        </w:rPr>
        <w:t xml:space="preserve">ARQUIVO ANEXO </w:t>
      </w:r>
    </w:p>
    <w:p w:rsidR="004B326F" w:rsidRPr="006F4049" w:rsidRDefault="004B326F"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5.1</w:t>
      </w:r>
      <w:r w:rsidR="00EE5BF1">
        <w:rPr>
          <w:rFonts w:ascii="Arial" w:hAnsi="Arial" w:cs="Arial"/>
          <w:sz w:val="24"/>
          <w:szCs w:val="24"/>
        </w:rPr>
        <w:t xml:space="preserve"> </w:t>
      </w:r>
      <w:r w:rsidRPr="00BD2377">
        <w:rPr>
          <w:rFonts w:ascii="Arial" w:hAnsi="Arial" w:cs="Arial"/>
          <w:sz w:val="24"/>
          <w:szCs w:val="24"/>
        </w:rPr>
        <w:t xml:space="preserve">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Banco de Preços</w:t>
      </w:r>
      <w:r w:rsidR="005E4EA0">
        <w:rPr>
          <w:rFonts w:ascii="Arial" w:hAnsi="Arial" w:cs="Arial"/>
          <w:sz w:val="24"/>
          <w:szCs w:val="24"/>
        </w:rPr>
        <w:t>, sítios eletrônicos</w:t>
      </w:r>
      <w:r w:rsidRPr="00FD63FF">
        <w:rPr>
          <w:rFonts w:ascii="Arial" w:hAnsi="Arial" w:cs="Arial"/>
          <w:sz w:val="24"/>
          <w:szCs w:val="24"/>
        </w:rPr>
        <w:t xml:space="preserve"> e Último Custo </w:t>
      </w:r>
      <w:r w:rsidRPr="009722D4">
        <w:rPr>
          <w:rFonts w:ascii="Arial" w:hAnsi="Arial" w:cs="Arial"/>
          <w:sz w:val="24"/>
          <w:szCs w:val="24"/>
        </w:rPr>
        <w:t>(</w:t>
      </w:r>
      <w:r w:rsidR="009722D4" w:rsidRPr="009722D4">
        <w:rPr>
          <w:rFonts w:ascii="Arial" w:hAnsi="Arial" w:cs="Arial"/>
          <w:sz w:val="24"/>
          <w:szCs w:val="24"/>
        </w:rPr>
        <w:t xml:space="preserve">contratos anteriores conforme PE SRP 58/23 com vigência até 14/09/2024, PE SRP 112/23 com vigência até 03/04/2025, DL 0029/2024, PE SRP 12/23 com </w:t>
      </w:r>
      <w:r w:rsidR="009722D4" w:rsidRPr="009722D4">
        <w:rPr>
          <w:rFonts w:ascii="Arial" w:hAnsi="Arial" w:cs="Arial"/>
          <w:sz w:val="24"/>
          <w:szCs w:val="24"/>
        </w:rPr>
        <w:lastRenderedPageBreak/>
        <w:t>vigência até 14/04/2025, PE SRP 116/23 com vigência até 11/03/2025, PE SRP 65/23 com vigência até 22/10/2024, DL 028/2024, PE SRP 120/22 com vigência até 02/03/2024</w:t>
      </w:r>
      <w:r w:rsidRPr="009722D4">
        <w:rPr>
          <w:rFonts w:ascii="Arial" w:hAnsi="Arial" w:cs="Arial"/>
          <w:sz w:val="24"/>
          <w:szCs w:val="24"/>
        </w:rPr>
        <w:t xml:space="preserve">) </w:t>
      </w:r>
      <w:r w:rsidRPr="00FD63FF">
        <w:rPr>
          <w:rFonts w:ascii="Arial" w:hAnsi="Arial" w:cs="Arial"/>
          <w:sz w:val="24"/>
          <w:szCs w:val="24"/>
        </w:rPr>
        <w:t>devidamente corrigido pelo IPCA acumulado no período</w:t>
      </w:r>
      <w:r>
        <w:rPr>
          <w:rFonts w:ascii="Arial" w:hAnsi="Arial" w:cs="Arial"/>
          <w:sz w:val="24"/>
          <w:szCs w:val="24"/>
        </w:rPr>
        <w:t>, utilizados de forma combinada conforme art. 23 do Manual de Planejamento das Contratações.</w:t>
      </w:r>
    </w:p>
    <w:p w:rsidR="006B3E78" w:rsidRDefault="0074602A" w:rsidP="0074602A">
      <w:pPr>
        <w:spacing w:before="120" w:line="360" w:lineRule="auto"/>
        <w:jc w:val="both"/>
        <w:rPr>
          <w:rFonts w:ascii="Arial" w:hAnsi="Arial" w:cs="Arial"/>
          <w:color w:val="00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média</w:t>
      </w:r>
      <w:r w:rsidR="009722D4">
        <w:rPr>
          <w:rFonts w:ascii="Arial" w:hAnsi="Arial" w:cs="Arial"/>
          <w:sz w:val="24"/>
          <w:szCs w:val="24"/>
        </w:rPr>
        <w:t xml:space="preserve"> ou mediana</w:t>
      </w:r>
      <w:r w:rsidR="00EE5BF1">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3F0290" w:rsidRDefault="003F0290" w:rsidP="003F0290">
      <w:pPr>
        <w:spacing w:before="120" w:line="360" w:lineRule="auto"/>
        <w:ind w:firstLine="709"/>
        <w:jc w:val="both"/>
        <w:rPr>
          <w:rFonts w:ascii="Arial" w:hAnsi="Arial" w:cs="Arial"/>
          <w:color w:val="000000"/>
          <w:sz w:val="24"/>
          <w:szCs w:val="24"/>
        </w:rPr>
      </w:pPr>
      <w:r w:rsidRPr="003F0290">
        <w:rPr>
          <w:rFonts w:ascii="Arial" w:hAnsi="Arial" w:cs="Arial"/>
          <w:noProof/>
          <w:color w:val="000000"/>
          <w:sz w:val="24"/>
          <w:szCs w:val="24"/>
          <w:lang w:eastAsia="pt-BR"/>
        </w:rPr>
        <w:drawing>
          <wp:inline distT="0" distB="0" distL="0" distR="0">
            <wp:extent cx="4400550" cy="581850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02142" cy="5820610"/>
                    </a:xfrm>
                    <a:prstGeom prst="rect">
                      <a:avLst/>
                    </a:prstGeom>
                  </pic:spPr>
                </pic:pic>
              </a:graphicData>
            </a:graphic>
          </wp:inline>
        </w:drawing>
      </w:r>
    </w:p>
    <w:p w:rsidR="003F0290" w:rsidRDefault="003F0290" w:rsidP="003F0290">
      <w:pPr>
        <w:spacing w:before="120" w:line="360" w:lineRule="auto"/>
        <w:ind w:firstLine="709"/>
        <w:jc w:val="both"/>
        <w:rPr>
          <w:rFonts w:ascii="Arial" w:hAnsi="Arial" w:cs="Arial"/>
          <w:color w:val="000000"/>
          <w:sz w:val="24"/>
          <w:szCs w:val="24"/>
        </w:rPr>
      </w:pPr>
      <w:r w:rsidRPr="003F0290">
        <w:rPr>
          <w:rFonts w:ascii="Arial" w:hAnsi="Arial" w:cs="Arial"/>
          <w:noProof/>
          <w:color w:val="000000"/>
          <w:sz w:val="24"/>
          <w:szCs w:val="24"/>
          <w:lang w:eastAsia="pt-BR"/>
        </w:rPr>
        <w:lastRenderedPageBreak/>
        <w:drawing>
          <wp:inline distT="0" distB="0" distL="0" distR="0">
            <wp:extent cx="4562475" cy="2871915"/>
            <wp:effectExtent l="0" t="0" r="0" b="508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69412" cy="2876282"/>
                    </a:xfrm>
                    <a:prstGeom prst="rect">
                      <a:avLst/>
                    </a:prstGeom>
                  </pic:spPr>
                </pic:pic>
              </a:graphicData>
            </a:graphic>
          </wp:inline>
        </w:drawing>
      </w:r>
    </w:p>
    <w:p w:rsidR="00AE0768" w:rsidRPr="00B81948" w:rsidRDefault="00541EA3" w:rsidP="005E4EA0">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541EA3"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Pr="009F14AB">
        <w:rPr>
          <w:rFonts w:ascii="Arial" w:hAnsi="Arial" w:cs="Arial"/>
          <w:sz w:val="24"/>
          <w:szCs w:val="24"/>
        </w:rPr>
        <w:t xml:space="preserve">A entrega será realizada de acordo com as necessidades da CESAMA, no prazo máximo de </w:t>
      </w:r>
      <w:r w:rsidR="003F0290">
        <w:rPr>
          <w:rFonts w:ascii="Arial" w:hAnsi="Arial" w:cs="Arial"/>
          <w:b/>
          <w:bCs/>
          <w:sz w:val="24"/>
          <w:szCs w:val="24"/>
        </w:rPr>
        <w:t>3</w:t>
      </w:r>
      <w:r w:rsidR="004B326F">
        <w:rPr>
          <w:rFonts w:ascii="Arial" w:hAnsi="Arial" w:cs="Arial"/>
          <w:b/>
          <w:bCs/>
          <w:sz w:val="24"/>
          <w:szCs w:val="24"/>
        </w:rPr>
        <w:t>0</w:t>
      </w:r>
      <w:r w:rsidRPr="00672E27">
        <w:rPr>
          <w:rFonts w:ascii="Arial" w:hAnsi="Arial" w:cs="Arial"/>
          <w:b/>
          <w:bCs/>
          <w:sz w:val="24"/>
          <w:szCs w:val="24"/>
        </w:rPr>
        <w:t xml:space="preserve"> (</w:t>
      </w:r>
      <w:r w:rsidR="003F0290">
        <w:rPr>
          <w:rFonts w:ascii="Arial" w:hAnsi="Arial" w:cs="Arial"/>
          <w:b/>
          <w:bCs/>
          <w:sz w:val="24"/>
          <w:szCs w:val="24"/>
        </w:rPr>
        <w:t>trinta</w:t>
      </w:r>
      <w:r w:rsidRPr="00672E27">
        <w:rPr>
          <w:rFonts w:ascii="Arial" w:hAnsi="Arial" w:cs="Arial"/>
          <w:b/>
          <w:bCs/>
          <w:sz w:val="24"/>
          <w:szCs w:val="24"/>
        </w:rPr>
        <w:t xml:space="preserve">) </w:t>
      </w:r>
      <w:r w:rsidR="00654998">
        <w:rPr>
          <w:rFonts w:ascii="Arial" w:hAnsi="Arial" w:cs="Arial"/>
          <w:b/>
          <w:bCs/>
          <w:sz w:val="24"/>
          <w:szCs w:val="24"/>
        </w:rPr>
        <w:t>dias</w:t>
      </w:r>
      <w:r w:rsidR="00EE5BF1">
        <w:rPr>
          <w:rFonts w:ascii="Arial" w:hAnsi="Arial" w:cs="Arial"/>
          <w:b/>
          <w:bCs/>
          <w:sz w:val="24"/>
          <w:szCs w:val="24"/>
        </w:rPr>
        <w:t xml:space="preserve"> </w:t>
      </w:r>
      <w:r w:rsidRPr="009F14AB">
        <w:rPr>
          <w:rFonts w:ascii="Arial" w:hAnsi="Arial" w:cs="Arial"/>
          <w:sz w:val="24"/>
          <w:szCs w:val="24"/>
        </w:rPr>
        <w:t xml:space="preserve">contados a partir do recebimento da solicitação, feita através da </w:t>
      </w:r>
      <w:r w:rsidRPr="00672E27">
        <w:rPr>
          <w:rFonts w:ascii="Arial" w:hAnsi="Arial" w:cs="Arial"/>
          <w:sz w:val="24"/>
          <w:szCs w:val="24"/>
        </w:rPr>
        <w:t>Ordem de Compra</w:t>
      </w:r>
      <w:r w:rsidR="00C03E3F" w:rsidRPr="00C03E3F">
        <w:rPr>
          <w:rFonts w:ascii="Arial" w:hAnsi="Arial" w:cs="Arial"/>
          <w:sz w:val="24"/>
          <w:szCs w:val="24"/>
        </w:rPr>
        <w:t>.</w:t>
      </w:r>
    </w:p>
    <w:p w:rsidR="00AE0768" w:rsidRPr="009F14AB" w:rsidRDefault="00B235F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B235F5"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.8</w:t>
      </w:r>
      <w:r w:rsidR="00EE5BF1">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B235F5"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rsidR="00B00C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B235F5"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B235F5"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B235F5"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B235F5"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B235F5"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996792" w:rsidRPr="00A15C1A" w:rsidRDefault="00B235F5"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rsidR="00C57439" w:rsidRDefault="00B235F5"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B235F5"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EE5BF1">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B235F5" w:rsidP="0086504B">
      <w:pPr>
        <w:spacing w:before="120" w:after="0" w:line="360" w:lineRule="auto"/>
        <w:jc w:val="both"/>
        <w:rPr>
          <w:rFonts w:ascii="Arial" w:hAnsi="Arial" w:cs="Arial"/>
          <w:sz w:val="24"/>
          <w:szCs w:val="24"/>
        </w:rPr>
      </w:pPr>
      <w:r>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B235F5"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B235F5"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11088D" w:rsidRPr="007E3020">
        <w:rPr>
          <w:rFonts w:ascii="Arial" w:hAnsi="Arial" w:cs="Arial"/>
          <w:sz w:val="24"/>
          <w:szCs w:val="24"/>
        </w:rPr>
        <w:t>Ata de Registro de Preços</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B235F5">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EE5BF1">
        <w:rPr>
          <w:rFonts w:cs="Arial"/>
          <w:sz w:val="24"/>
          <w:szCs w:val="24"/>
        </w:rPr>
        <w:t xml:space="preserve">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EE5BF1">
        <w:rPr>
          <w:rFonts w:cs="Arial"/>
          <w:sz w:val="24"/>
          <w:szCs w:val="24"/>
        </w:rPr>
        <w:t xml:space="preserve"> </w:t>
      </w:r>
      <w:r w:rsidR="00D321C6" w:rsidRPr="00A17582">
        <w:rPr>
          <w:rFonts w:cs="Arial"/>
          <w:sz w:val="24"/>
          <w:szCs w:val="24"/>
        </w:rPr>
        <w:t>A</w:t>
      </w:r>
      <w:proofErr w:type="gramStart"/>
      <w:r w:rsidR="00EE5BF1">
        <w:rPr>
          <w:rFonts w:cs="Arial"/>
          <w:sz w:val="24"/>
          <w:szCs w:val="24"/>
        </w:rPr>
        <w:t xml:space="preserve"> </w:t>
      </w:r>
      <w:r w:rsidR="00D321C6" w:rsidRPr="00A17582">
        <w:rPr>
          <w:rFonts w:cs="Arial"/>
          <w:sz w:val="24"/>
          <w:szCs w:val="24"/>
        </w:rPr>
        <w:t xml:space="preserve"> </w:t>
      </w:r>
      <w:proofErr w:type="gramEnd"/>
      <w:r w:rsidR="00D321C6" w:rsidRPr="00A17582">
        <w:rPr>
          <w:rFonts w:cs="Arial"/>
          <w:sz w:val="24"/>
          <w:szCs w:val="24"/>
        </w:rPr>
        <w:t xml:space="preserve">Nota Fiscal Eletrônica – NF-e – deverá ser enviada para o e-mail </w:t>
      </w:r>
      <w:hyperlink r:id="rId13"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4"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EE5BF1">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B235F5">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EE5BF1">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D321C6" w:rsidRPr="00A17582">
        <w:rPr>
          <w:sz w:val="24"/>
          <w:szCs w:val="24"/>
        </w:rPr>
        <w:t>Na Nota Fiscal / Fatura deverão ser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B235F5">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B235F5">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w:t>
      </w:r>
      <w:r w:rsidR="00654998" w:rsidRPr="005269F4">
        <w:rPr>
          <w:rFonts w:ascii="Arial" w:hAnsi="Arial" w:cs="Arial"/>
          <w:sz w:val="24"/>
          <w:szCs w:val="24"/>
        </w:rPr>
        <w:t>o</w:t>
      </w:r>
      <w:r w:rsidR="00654998" w:rsidRPr="00F53871">
        <w:rPr>
          <w:rFonts w:ascii="Arial" w:hAnsi="Arial" w:cs="Arial"/>
          <w:sz w:val="24"/>
          <w:szCs w:val="24"/>
        </w:rPr>
        <w:t>bjeto</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B235F5">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B06ADB" w:rsidRPr="00F53871">
        <w:rPr>
          <w:b/>
          <w:color w:val="auto"/>
          <w:sz w:val="24"/>
          <w:szCs w:val="24"/>
        </w:rPr>
        <w:t xml:space="preserve">item </w:t>
      </w:r>
      <w:r w:rsidRPr="00F53871">
        <w:rPr>
          <w:b/>
          <w:color w:val="auto"/>
          <w:sz w:val="24"/>
          <w:szCs w:val="24"/>
        </w:rPr>
        <w:t>1</w:t>
      </w:r>
      <w:r w:rsidR="00B235F5">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.1.</w:t>
      </w:r>
      <w:r w:rsidR="00EE5BF1">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.2.</w:t>
      </w:r>
      <w:r w:rsidR="00EE5BF1">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EE5BF1">
        <w:rPr>
          <w:rFonts w:ascii="Arial" w:hAnsi="Arial" w:cs="Arial"/>
          <w:sz w:val="24"/>
          <w:szCs w:val="24"/>
        </w:rPr>
        <w:t xml:space="preserve"> </w:t>
      </w:r>
      <w:r w:rsidR="00E8195B" w:rsidRPr="00A17582">
        <w:rPr>
          <w:rFonts w:ascii="Arial" w:hAnsi="Arial" w:cs="Arial"/>
          <w:sz w:val="24"/>
          <w:szCs w:val="24"/>
        </w:rPr>
        <w:t>Providenciar</w:t>
      </w:r>
      <w:r w:rsidR="00EE5BF1">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EE5BF1">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EE5BF1">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D321C6">
        <w:rPr>
          <w:rFonts w:ascii="Arial" w:hAnsi="Arial" w:cs="Arial"/>
          <w:sz w:val="24"/>
          <w:szCs w:val="24"/>
        </w:rPr>
        <w:t>.2</w:t>
      </w:r>
      <w:r w:rsidR="00EE5BF1">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6F4049">
        <w:rPr>
          <w:rFonts w:ascii="Arial" w:hAnsi="Arial" w:cs="Arial"/>
          <w:sz w:val="24"/>
          <w:szCs w:val="24"/>
        </w:rPr>
        <w:t>.3</w:t>
      </w:r>
      <w:r w:rsidR="00EE5BF1">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B235F5">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B235F5">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B235F5">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B235F5">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B235F5">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B235F5">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654998"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4998">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93E9C"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50C26" w:rsidRDefault="00750C26" w:rsidP="0094225E">
      <w:pPr>
        <w:spacing w:before="120"/>
        <w:ind w:left="2268"/>
        <w:rPr>
          <w:rFonts w:ascii="Arial" w:hAnsi="Arial" w:cs="Arial"/>
          <w:bCs/>
          <w:sz w:val="24"/>
          <w:szCs w:val="24"/>
        </w:rPr>
      </w:pP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0160E9" w:rsidRDefault="000160E9" w:rsidP="000160E9">
      <w:pPr>
        <w:jc w:val="center"/>
        <w:rPr>
          <w:rFonts w:ascii="Arial" w:eastAsia="Arial" w:hAnsi="Arial" w:cs="Arial"/>
        </w:rPr>
      </w:pPr>
      <w:r>
        <w:rPr>
          <w:rFonts w:ascii="Arial" w:eastAsia="Arial" w:hAnsi="Arial" w:cs="Arial"/>
        </w:rPr>
        <w:t>______________________</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5"/>
      <w:footerReference w:type="even"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E17" w:rsidRDefault="003E2E17" w:rsidP="00912249">
      <w:pPr>
        <w:spacing w:after="0" w:line="240" w:lineRule="auto"/>
      </w:pPr>
      <w:r>
        <w:separator/>
      </w:r>
    </w:p>
  </w:endnote>
  <w:endnote w:type="continuationSeparator" w:id="1">
    <w:p w:rsidR="003E2E17" w:rsidRDefault="003E2E1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Default="00B578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E17" w:rsidRDefault="003E2E17" w:rsidP="00912249">
      <w:pPr>
        <w:spacing w:after="0" w:line="240" w:lineRule="auto"/>
      </w:pPr>
      <w:r>
        <w:separator/>
      </w:r>
    </w:p>
  </w:footnote>
  <w:footnote w:type="continuationSeparator" w:id="1">
    <w:p w:rsidR="003E2E17" w:rsidRDefault="003E2E1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EF07A4D"/>
    <w:multiLevelType w:val="multilevel"/>
    <w:tmpl w:val="40068B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3"/>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4"/>
  </w:num>
  <w:num w:numId="12">
    <w:abstractNumId w:val="22"/>
  </w:num>
  <w:num w:numId="13">
    <w:abstractNumId w:val="21"/>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53A72"/>
    <w:rsid w:val="0016403A"/>
    <w:rsid w:val="00165580"/>
    <w:rsid w:val="0017142B"/>
    <w:rsid w:val="00180317"/>
    <w:rsid w:val="00184B13"/>
    <w:rsid w:val="001A7473"/>
    <w:rsid w:val="001B58EC"/>
    <w:rsid w:val="001C46F8"/>
    <w:rsid w:val="001D1C5E"/>
    <w:rsid w:val="00207631"/>
    <w:rsid w:val="002201A1"/>
    <w:rsid w:val="002333E6"/>
    <w:rsid w:val="00245425"/>
    <w:rsid w:val="00251F00"/>
    <w:rsid w:val="002543AB"/>
    <w:rsid w:val="0025451B"/>
    <w:rsid w:val="00254F71"/>
    <w:rsid w:val="00256705"/>
    <w:rsid w:val="00262B4E"/>
    <w:rsid w:val="0028453B"/>
    <w:rsid w:val="00295378"/>
    <w:rsid w:val="002C7A88"/>
    <w:rsid w:val="002D42AF"/>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4AF6"/>
    <w:rsid w:val="003D58D3"/>
    <w:rsid w:val="003D784D"/>
    <w:rsid w:val="003E2E17"/>
    <w:rsid w:val="003F0290"/>
    <w:rsid w:val="00400506"/>
    <w:rsid w:val="00401C01"/>
    <w:rsid w:val="00404DA9"/>
    <w:rsid w:val="00416B69"/>
    <w:rsid w:val="004175CF"/>
    <w:rsid w:val="00425A34"/>
    <w:rsid w:val="0043424B"/>
    <w:rsid w:val="00434C9A"/>
    <w:rsid w:val="00436972"/>
    <w:rsid w:val="0045236C"/>
    <w:rsid w:val="00473A61"/>
    <w:rsid w:val="00475FF6"/>
    <w:rsid w:val="0047728C"/>
    <w:rsid w:val="004849DA"/>
    <w:rsid w:val="0048727B"/>
    <w:rsid w:val="00492877"/>
    <w:rsid w:val="00496B4E"/>
    <w:rsid w:val="004970FC"/>
    <w:rsid w:val="004A23D4"/>
    <w:rsid w:val="004B326F"/>
    <w:rsid w:val="004C7A8A"/>
    <w:rsid w:val="004F4B41"/>
    <w:rsid w:val="004F6378"/>
    <w:rsid w:val="00522964"/>
    <w:rsid w:val="005269F4"/>
    <w:rsid w:val="00530880"/>
    <w:rsid w:val="00531994"/>
    <w:rsid w:val="00535F37"/>
    <w:rsid w:val="00540C93"/>
    <w:rsid w:val="00541EA3"/>
    <w:rsid w:val="005568B5"/>
    <w:rsid w:val="00557E84"/>
    <w:rsid w:val="005672EB"/>
    <w:rsid w:val="005940DB"/>
    <w:rsid w:val="00594C46"/>
    <w:rsid w:val="005B4659"/>
    <w:rsid w:val="005B4DE6"/>
    <w:rsid w:val="005B5064"/>
    <w:rsid w:val="005B7B8C"/>
    <w:rsid w:val="005C4F76"/>
    <w:rsid w:val="005D2C8C"/>
    <w:rsid w:val="005E2FA1"/>
    <w:rsid w:val="005E418A"/>
    <w:rsid w:val="005E4EA0"/>
    <w:rsid w:val="005F2110"/>
    <w:rsid w:val="005F2844"/>
    <w:rsid w:val="00605DD6"/>
    <w:rsid w:val="00611969"/>
    <w:rsid w:val="00625400"/>
    <w:rsid w:val="00626B08"/>
    <w:rsid w:val="006505CB"/>
    <w:rsid w:val="00650DC7"/>
    <w:rsid w:val="00654998"/>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A7BDA"/>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5E85"/>
    <w:rsid w:val="00946A21"/>
    <w:rsid w:val="009473B3"/>
    <w:rsid w:val="00971290"/>
    <w:rsid w:val="009722D4"/>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884"/>
    <w:rsid w:val="00B63DFD"/>
    <w:rsid w:val="00B6501D"/>
    <w:rsid w:val="00B749C0"/>
    <w:rsid w:val="00B81948"/>
    <w:rsid w:val="00B8389A"/>
    <w:rsid w:val="00BB145B"/>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B1C46"/>
    <w:rsid w:val="00EC1898"/>
    <w:rsid w:val="00ED0263"/>
    <w:rsid w:val="00ED4D0D"/>
    <w:rsid w:val="00ED5F0D"/>
    <w:rsid w:val="00EE5B80"/>
    <w:rsid w:val="00EE5BF1"/>
    <w:rsid w:val="00F00CE5"/>
    <w:rsid w:val="00F3067A"/>
    <w:rsid w:val="00F53871"/>
    <w:rsid w:val="00F55CF3"/>
    <w:rsid w:val="00F60D8A"/>
    <w:rsid w:val="00F67254"/>
    <w:rsid w:val="00F8553B"/>
    <w:rsid w:val="00F86486"/>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 w:type="character" w:styleId="Forte">
    <w:name w:val="Strong"/>
    <w:basedOn w:val="Fontepargpadro"/>
    <w:uiPriority w:val="22"/>
    <w:qFormat/>
    <w:rsid w:val="004B326F"/>
    <w:rPr>
      <w:b/>
      <w:bC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fe@cesama.com.b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mesquita@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4.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16</Pages>
  <Words>3591</Words>
  <Characters>19394</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4</cp:revision>
  <cp:lastPrinted>2024-05-16T17:20:00Z</cp:lastPrinted>
  <dcterms:created xsi:type="dcterms:W3CDTF">2024-05-23T16:07:00Z</dcterms:created>
  <dcterms:modified xsi:type="dcterms:W3CDTF">2024-06-05T16:15:00Z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