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tblPr>
      <w:tblGrid>
        <w:gridCol w:w="8694"/>
      </w:tblGrid>
      <w:tr w:rsidR="00CE3003" w:rsidTr="00CE3003">
        <w:trPr>
          <w:trHeight w:val="303"/>
        </w:trPr>
        <w:tc>
          <w:tcPr>
            <w:tcW w:w="8694" w:type="dxa"/>
            <w:shd w:val="clear" w:color="auto" w:fill="E7E6E6" w:themeFill="background2"/>
            <w:vAlign w:val="bottom"/>
          </w:tcPr>
          <w:p w:rsidR="00CE3003" w:rsidRPr="00CE3003" w:rsidRDefault="00CE3003" w:rsidP="00CE3003">
            <w:pPr>
              <w:jc w:val="center"/>
              <w:rPr>
                <w:rFonts w:ascii="Arial" w:hAnsi="Arial" w:cs="Arial"/>
                <w:sz w:val="28"/>
                <w:szCs w:val="28"/>
              </w:rPr>
            </w:pPr>
            <w:r w:rsidRPr="00CE3003">
              <w:rPr>
                <w:rFonts w:ascii="Arial" w:hAnsi="Arial" w:cs="Arial"/>
                <w:sz w:val="28"/>
                <w:szCs w:val="28"/>
              </w:rPr>
              <w:t>TERMO DE REFERÊNCIA</w:t>
            </w:r>
          </w:p>
        </w:tc>
      </w:tr>
    </w:tbl>
    <w:p w:rsidR="008F4FE3" w:rsidRPr="006112E9" w:rsidRDefault="008F4FE3" w:rsidP="00892F6C">
      <w:pPr>
        <w:pStyle w:val="PargrafodaLista"/>
        <w:numPr>
          <w:ilvl w:val="0"/>
          <w:numId w:val="8"/>
        </w:numPr>
        <w:spacing w:before="240" w:after="240" w:line="276" w:lineRule="auto"/>
        <w:contextualSpacing w:val="0"/>
        <w:jc w:val="both"/>
        <w:rPr>
          <w:rFonts w:ascii="Arial" w:hAnsi="Arial" w:cs="Arial"/>
          <w:b/>
        </w:rPr>
      </w:pPr>
      <w:r w:rsidRPr="006112E9">
        <w:rPr>
          <w:rFonts w:ascii="Arial" w:hAnsi="Arial" w:cs="Arial"/>
          <w:b/>
        </w:rPr>
        <w:t>OBJETO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Contratação de empresa prestadora de serviços de engenharia para execução dos Interceptores de Esgoto IP 02/03 Independência e Mariano Procópio, referentes </w:t>
      </w:r>
      <w:proofErr w:type="gramStart"/>
      <w:r w:rsidRPr="00B454E9">
        <w:rPr>
          <w:rFonts w:ascii="Arial" w:hAnsi="Arial" w:cs="Arial"/>
          <w:lang w:val="pt-BR"/>
        </w:rPr>
        <w:t>as</w:t>
      </w:r>
      <w:proofErr w:type="gramEnd"/>
      <w:r w:rsidRPr="00B454E9">
        <w:rPr>
          <w:rFonts w:ascii="Arial" w:hAnsi="Arial" w:cs="Arial"/>
          <w:lang w:val="pt-BR"/>
        </w:rPr>
        <w:t xml:space="preserve"> obras complementares da ampliação do sistema de esgotamento sanitário do município de Juiz de Fora, Estado de Minas Gerais, que atenderá a diversos bairros da cidade.</w:t>
      </w:r>
    </w:p>
    <w:p w:rsidR="008F4FE3" w:rsidRPr="00DD730D" w:rsidRDefault="008F4FE3" w:rsidP="00892F6C">
      <w:pPr>
        <w:pStyle w:val="PargrafodaLista"/>
        <w:numPr>
          <w:ilvl w:val="0"/>
          <w:numId w:val="8"/>
        </w:numPr>
        <w:spacing w:before="240" w:after="240" w:line="276" w:lineRule="auto"/>
        <w:contextualSpacing w:val="0"/>
        <w:jc w:val="both"/>
        <w:rPr>
          <w:rFonts w:ascii="Arial" w:hAnsi="Arial" w:cs="Arial"/>
          <w:b/>
        </w:rPr>
      </w:pPr>
      <w:r w:rsidRPr="00DD730D">
        <w:rPr>
          <w:rFonts w:ascii="Arial" w:hAnsi="Arial" w:cs="Arial"/>
          <w:b/>
        </w:rPr>
        <w:t>JUSTIFICATIVA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As obras complementares de implantação dos interceptores fazem parte do Programa de Recuperação Ambiental do Rio Paraibuna, que em 2004 concluiu o Estudo de Concepção de Esgotamento Sanitário da cidade de Juiz de Fora/MG, que envolvia obras lineares, estações elevatórias e estações de tratamento.</w:t>
      </w:r>
    </w:p>
    <w:p w:rsidR="00222368" w:rsidRDefault="008F4FE3" w:rsidP="00222368">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1° fase do estudo iniciou-se em julho de 2013, na qual as obras dos interceptores de esgoto IP 02 e IP 03 Independên</w:t>
      </w:r>
      <w:r w:rsidR="001F73E7" w:rsidRPr="00B454E9">
        <w:rPr>
          <w:rFonts w:ascii="Arial" w:hAnsi="Arial" w:cs="Arial"/>
          <w:lang w:val="pt-BR"/>
        </w:rPr>
        <w:t>cia foram parcialmente executada</w:t>
      </w:r>
      <w:r w:rsidRPr="00B454E9">
        <w:rPr>
          <w:rFonts w:ascii="Arial" w:hAnsi="Arial" w:cs="Arial"/>
          <w:lang w:val="pt-BR"/>
        </w:rPr>
        <w:t>s. Foi dado início a 2° fase em julho de 2015, porém os interceptores de esgoto IP 02 e IP 03 Mariano Procópio não foram executados.</w:t>
      </w:r>
    </w:p>
    <w:p w:rsidR="00B65D5B" w:rsidRDefault="008F4FE3" w:rsidP="00222368">
      <w:pPr>
        <w:pStyle w:val="PargrafodaLista"/>
        <w:numPr>
          <w:ilvl w:val="1"/>
          <w:numId w:val="8"/>
        </w:numPr>
        <w:spacing w:before="240" w:after="240" w:line="276" w:lineRule="auto"/>
        <w:ind w:left="0" w:firstLine="0"/>
        <w:contextualSpacing w:val="0"/>
        <w:jc w:val="both"/>
        <w:rPr>
          <w:rFonts w:ascii="Arial" w:hAnsi="Arial" w:cs="Arial"/>
          <w:lang w:val="pt-BR"/>
        </w:rPr>
      </w:pPr>
      <w:r w:rsidRPr="00222368">
        <w:rPr>
          <w:rFonts w:ascii="Arial" w:hAnsi="Arial" w:cs="Arial"/>
          <w:lang w:val="pt-BR"/>
        </w:rPr>
        <w:t xml:space="preserve">Os interceptores IP 02 e IP 03 Mariano Procópio serão interligados ao </w:t>
      </w:r>
      <w:proofErr w:type="gramStart"/>
      <w:r w:rsidRPr="00222368">
        <w:rPr>
          <w:rFonts w:ascii="Arial" w:hAnsi="Arial" w:cs="Arial"/>
          <w:lang w:val="pt-BR"/>
        </w:rPr>
        <w:t>coletores</w:t>
      </w:r>
      <w:proofErr w:type="gramEnd"/>
      <w:r w:rsidRPr="00222368">
        <w:rPr>
          <w:rFonts w:ascii="Arial" w:hAnsi="Arial" w:cs="Arial"/>
          <w:lang w:val="pt-BR"/>
        </w:rPr>
        <w:t xml:space="preserve"> tron</w:t>
      </w:r>
      <w:r w:rsidR="001F73E7" w:rsidRPr="00222368">
        <w:rPr>
          <w:rFonts w:ascii="Arial" w:hAnsi="Arial" w:cs="Arial"/>
          <w:lang w:val="pt-BR"/>
        </w:rPr>
        <w:t>co São Pedro e Tapera, além da Estação Elevatória de Esgoto B</w:t>
      </w:r>
      <w:r w:rsidRPr="00222368">
        <w:rPr>
          <w:rFonts w:ascii="Arial" w:hAnsi="Arial" w:cs="Arial"/>
          <w:lang w:val="pt-BR"/>
        </w:rPr>
        <w:t>ruto Mariano Procópio, interceptando praticamente toda a vazão afluente do setor</w:t>
      </w:r>
      <w:r w:rsidR="00B65D5B">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IP 03 Independência faz a captação entre as ruas Costa Carvalho (bairro Costa Carvalho) e nas proximidades da Benjamin Constant (Centro). Este Interceptor tem a finalidade de captar todo o esgoto, que atualmente deságua diretamente no rio, e direcionar para a Estação Elevatória de Esgoto </w:t>
      </w:r>
      <w:proofErr w:type="gramStart"/>
      <w:r w:rsidRPr="00B454E9">
        <w:rPr>
          <w:rFonts w:ascii="Arial" w:hAnsi="Arial" w:cs="Arial"/>
          <w:lang w:val="pt-BR"/>
        </w:rPr>
        <w:t>Bruto Independência</w:t>
      </w:r>
      <w:proofErr w:type="gramEnd"/>
      <w:r w:rsidRPr="00B454E9">
        <w:rPr>
          <w:rFonts w:ascii="Arial" w:hAnsi="Arial" w:cs="Arial"/>
          <w:lang w:val="pt-BR"/>
        </w:rPr>
        <w:t xml:space="preserve">. Para a interligação com Estação Elevatória, o interceptor atravessa sob o Rio Paraibuna e se conecta ao Interceptor IP </w:t>
      </w:r>
      <w:proofErr w:type="gramStart"/>
      <w:r w:rsidRPr="00B454E9">
        <w:rPr>
          <w:rFonts w:ascii="Arial" w:hAnsi="Arial" w:cs="Arial"/>
          <w:lang w:val="pt-BR"/>
        </w:rPr>
        <w:t>02 Independência</w:t>
      </w:r>
      <w:proofErr w:type="gramEnd"/>
      <w:r w:rsidRPr="00B454E9">
        <w:rPr>
          <w:rFonts w:ascii="Arial" w:hAnsi="Arial" w:cs="Arial"/>
          <w:lang w:val="pt-BR"/>
        </w:rPr>
        <w:t>, margem direita do 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IP 02 Independência receberá as contribuições dos </w:t>
      </w:r>
      <w:proofErr w:type="gramStart"/>
      <w:r w:rsidRPr="00B454E9">
        <w:rPr>
          <w:rFonts w:ascii="Arial" w:hAnsi="Arial" w:cs="Arial"/>
          <w:lang w:val="pt-BR"/>
        </w:rPr>
        <w:t>Coletores Tronco Tapera</w:t>
      </w:r>
      <w:proofErr w:type="gramEnd"/>
      <w:r w:rsidRPr="00B454E9">
        <w:rPr>
          <w:rFonts w:ascii="Arial" w:hAnsi="Arial" w:cs="Arial"/>
          <w:lang w:val="pt-BR"/>
        </w:rPr>
        <w:t xml:space="preserve"> e São Pedro, CT Matirumbide, IP 02 e IP 03 Mariano Procópio, IP 03 Independência e IP 03 Vitorino Braga. Todo o volume captado será conduzido até a EEEB Independência e recalcado para o IP</w:t>
      </w:r>
      <w:r w:rsidR="001F73E7" w:rsidRPr="00B454E9">
        <w:rPr>
          <w:rFonts w:ascii="Arial" w:hAnsi="Arial" w:cs="Arial"/>
          <w:lang w:val="pt-BR"/>
        </w:rPr>
        <w:t xml:space="preserve"> </w:t>
      </w:r>
      <w:r w:rsidRPr="00B454E9">
        <w:rPr>
          <w:rFonts w:ascii="Arial" w:hAnsi="Arial" w:cs="Arial"/>
          <w:lang w:val="pt-BR"/>
        </w:rPr>
        <w:t>02 Vila Ideal, que seguirá para EEEB Vila Ideal, que por sua vez irá bombear o esgoto até seu destino final na Estação de Tratamento de Esgoto União Indústria, no bairro Granjas Betel.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lastRenderedPageBreak/>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B454E9">
        <w:rPr>
          <w:rFonts w:ascii="Arial" w:hAnsi="Arial" w:cs="Arial"/>
          <w:b/>
          <w:lang w:val="pt-BR"/>
        </w:rPr>
        <w:t>entende-se que é conveniente a vedação de participação de empresas em “consórcio” neste certame.</w:t>
      </w:r>
      <w:r w:rsidRPr="00B454E9">
        <w:rPr>
          <w:rFonts w:ascii="Arial" w:hAnsi="Arial" w:cs="Arial"/>
          <w:lang w:val="pt-BR"/>
        </w:rPr>
        <w:t xml:space="preserve"> </w:t>
      </w:r>
    </w:p>
    <w:p w:rsidR="008F4FE3" w:rsidRPr="000442FF" w:rsidRDefault="008F4FE3" w:rsidP="00892F6C">
      <w:pPr>
        <w:pStyle w:val="PargrafodaLista"/>
        <w:numPr>
          <w:ilvl w:val="0"/>
          <w:numId w:val="8"/>
        </w:numPr>
        <w:spacing w:before="240" w:after="240" w:line="276" w:lineRule="auto"/>
        <w:contextualSpacing w:val="0"/>
        <w:jc w:val="both"/>
        <w:rPr>
          <w:rFonts w:ascii="Arial" w:hAnsi="Arial" w:cs="Arial"/>
          <w:b/>
        </w:rPr>
      </w:pPr>
      <w:r w:rsidRPr="000442FF">
        <w:rPr>
          <w:rFonts w:ascii="Arial" w:hAnsi="Arial" w:cs="Arial"/>
          <w:b/>
        </w:rPr>
        <w:t>RECURSOS FINANCEIROS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Os recursos para as obras complementares dos IP 02 e IP 03 Mariano Procópio serão oriundos do Contrato nº 0408.676-09/13 – Ministério das Cidades – Programa Saneamento para Todos - Recursos: OGU.</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Os recursos para as obras complementares dos IP 02 e IP 03 Independência serão oriundos de recursos próprios da Cesama.</w:t>
      </w:r>
    </w:p>
    <w:p w:rsidR="008F4FE3" w:rsidRPr="00236A4C" w:rsidRDefault="008F4FE3" w:rsidP="00892F6C">
      <w:pPr>
        <w:pStyle w:val="PargrafodaLista"/>
        <w:numPr>
          <w:ilvl w:val="0"/>
          <w:numId w:val="8"/>
        </w:numPr>
        <w:spacing w:before="240" w:after="240" w:line="276" w:lineRule="auto"/>
        <w:contextualSpacing w:val="0"/>
        <w:jc w:val="both"/>
        <w:rPr>
          <w:rFonts w:ascii="Arial" w:hAnsi="Arial" w:cs="Arial"/>
          <w:b/>
        </w:rPr>
      </w:pPr>
      <w:r w:rsidRPr="00236A4C">
        <w:rPr>
          <w:rFonts w:ascii="Arial" w:hAnsi="Arial" w:cs="Arial"/>
          <w:b/>
        </w:rPr>
        <w:t>ESPECIFICAÇÃO DO OBJETO</w:t>
      </w:r>
    </w:p>
    <w:p w:rsidR="008F4FE3" w:rsidRPr="008F4FE3" w:rsidRDefault="008F4FE3" w:rsidP="00892F6C">
      <w:pPr>
        <w:pStyle w:val="PargrafodaLista"/>
        <w:numPr>
          <w:ilvl w:val="1"/>
          <w:numId w:val="8"/>
        </w:numPr>
        <w:spacing w:before="240" w:after="240" w:line="276" w:lineRule="auto"/>
        <w:ind w:left="0" w:firstLine="0"/>
        <w:contextualSpacing w:val="0"/>
        <w:jc w:val="both"/>
        <w:rPr>
          <w:rFonts w:ascii="Arial" w:hAnsi="Arial" w:cs="Arial"/>
        </w:rPr>
      </w:pPr>
      <w:r w:rsidRPr="00B454E9">
        <w:rPr>
          <w:rFonts w:ascii="Arial" w:hAnsi="Arial" w:cs="Arial"/>
          <w:lang w:val="pt-BR"/>
        </w:rPr>
        <w:t xml:space="preserve">Os interceptores IP 02 e IP 03 Mariano Procópio terão um extensão total de 561,00 metros, conforme projetos, com tubos de PVC (diâmetro nominal de </w:t>
      </w:r>
      <w:proofErr w:type="gramStart"/>
      <w:r w:rsidRPr="00B454E9">
        <w:rPr>
          <w:rFonts w:ascii="Arial" w:hAnsi="Arial" w:cs="Arial"/>
          <w:lang w:val="pt-BR"/>
        </w:rPr>
        <w:t>200mm</w:t>
      </w:r>
      <w:proofErr w:type="gramEnd"/>
      <w:r w:rsidRPr="00B454E9">
        <w:rPr>
          <w:rFonts w:ascii="Arial" w:hAnsi="Arial" w:cs="Arial"/>
          <w:lang w:val="pt-BR"/>
        </w:rPr>
        <w:t xml:space="preserve">), concreto (DN de 500 e 600mm) e ferro fundido (DN de 200 e 500mm). Possuirá também duas travessias: uma sob galeria (ferro fundido, DN </w:t>
      </w:r>
      <w:proofErr w:type="gramStart"/>
      <w:r w:rsidRPr="00B454E9">
        <w:rPr>
          <w:rFonts w:ascii="Arial" w:hAnsi="Arial" w:cs="Arial"/>
          <w:lang w:val="pt-BR"/>
        </w:rPr>
        <w:t>200mm</w:t>
      </w:r>
      <w:proofErr w:type="gramEnd"/>
      <w:r w:rsidRPr="00B454E9">
        <w:rPr>
          <w:rFonts w:ascii="Arial" w:hAnsi="Arial" w:cs="Arial"/>
          <w:lang w:val="pt-BR"/>
        </w:rPr>
        <w:t xml:space="preserve">) e outra sob o rio (ferro fundido, DN 500mm). </w:t>
      </w:r>
      <w:r w:rsidRPr="008F4FE3">
        <w:rPr>
          <w:rFonts w:ascii="Arial" w:hAnsi="Arial" w:cs="Arial"/>
        </w:rPr>
        <w:t xml:space="preserve">As </w:t>
      </w:r>
      <w:proofErr w:type="spellStart"/>
      <w:r w:rsidRPr="008F4FE3">
        <w:rPr>
          <w:rFonts w:ascii="Arial" w:hAnsi="Arial" w:cs="Arial"/>
        </w:rPr>
        <w:t>travessias</w:t>
      </w:r>
      <w:proofErr w:type="spellEnd"/>
      <w:r w:rsidRPr="008F4FE3">
        <w:rPr>
          <w:rFonts w:ascii="Arial" w:hAnsi="Arial" w:cs="Arial"/>
        </w:rPr>
        <w:t xml:space="preserve"> </w:t>
      </w:r>
      <w:proofErr w:type="spellStart"/>
      <w:r w:rsidRPr="008F4FE3">
        <w:rPr>
          <w:rFonts w:ascii="Arial" w:hAnsi="Arial" w:cs="Arial"/>
        </w:rPr>
        <w:t>totalizarão</w:t>
      </w:r>
      <w:proofErr w:type="spellEnd"/>
      <w:r w:rsidRPr="008F4FE3">
        <w:rPr>
          <w:rFonts w:ascii="Arial" w:hAnsi="Arial" w:cs="Arial"/>
        </w:rPr>
        <w:t xml:space="preserve"> 90</w:t>
      </w:r>
      <w:proofErr w:type="gramStart"/>
      <w:r w:rsidRPr="008F4FE3">
        <w:rPr>
          <w:rFonts w:ascii="Arial" w:hAnsi="Arial" w:cs="Arial"/>
        </w:rPr>
        <w:t>,00</w:t>
      </w:r>
      <w:proofErr w:type="gramEnd"/>
      <w:r w:rsidRPr="008F4FE3">
        <w:rPr>
          <w:rFonts w:ascii="Arial" w:hAnsi="Arial" w:cs="Arial"/>
        </w:rPr>
        <w:t xml:space="preserve"> metros </w:t>
      </w:r>
      <w:proofErr w:type="spellStart"/>
      <w:r w:rsidRPr="008F4FE3">
        <w:rPr>
          <w:rFonts w:ascii="Arial" w:hAnsi="Arial" w:cs="Arial"/>
        </w:rPr>
        <w:t>conforme</w:t>
      </w:r>
      <w:proofErr w:type="spellEnd"/>
      <w:r w:rsidRPr="008F4FE3">
        <w:rPr>
          <w:rFonts w:ascii="Arial" w:hAnsi="Arial" w:cs="Arial"/>
        </w:rPr>
        <w:t xml:space="preserve"> </w:t>
      </w:r>
      <w:proofErr w:type="spellStart"/>
      <w:r w:rsidRPr="008F4FE3">
        <w:rPr>
          <w:rFonts w:ascii="Arial" w:hAnsi="Arial" w:cs="Arial"/>
        </w:rPr>
        <w:t>projetos</w:t>
      </w:r>
      <w:proofErr w:type="spellEnd"/>
      <w:r w:rsidRPr="008F4FE3">
        <w:rPr>
          <w:rFonts w:ascii="Arial" w:hAnsi="Arial" w:cs="Arial"/>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Já foram executados </w:t>
      </w:r>
      <w:proofErr w:type="gramStart"/>
      <w:r w:rsidRPr="00B454E9">
        <w:rPr>
          <w:rFonts w:ascii="Arial" w:hAnsi="Arial" w:cs="Arial"/>
          <w:lang w:val="pt-BR"/>
        </w:rPr>
        <w:t>cerca de 57</w:t>
      </w:r>
      <w:proofErr w:type="gramEnd"/>
      <w:r w:rsidRPr="00B454E9">
        <w:rPr>
          <w:rFonts w:ascii="Arial" w:hAnsi="Arial" w:cs="Arial"/>
          <w:lang w:val="pt-BR"/>
        </w:rPr>
        <w:t xml:space="preserve">%, dos 2033,00 metros que compõem o IP03 Independência, restando aproximadamente 862,00 metros para sua conclusão. Os materiais a serem utilizados serão PVC (DN de 200, 300 e </w:t>
      </w:r>
      <w:proofErr w:type="gramStart"/>
      <w:r w:rsidRPr="00B454E9">
        <w:rPr>
          <w:rFonts w:ascii="Arial" w:hAnsi="Arial" w:cs="Arial"/>
          <w:lang w:val="pt-BR"/>
        </w:rPr>
        <w:t>400mm</w:t>
      </w:r>
      <w:proofErr w:type="gramEnd"/>
      <w:r w:rsidRPr="00B454E9">
        <w:rPr>
          <w:rFonts w:ascii="Arial" w:hAnsi="Arial" w:cs="Arial"/>
          <w:lang w:val="pt-BR"/>
        </w:rPr>
        <w:t xml:space="preserve">) e ferro fundido (DN 200, 300 e 400mm). Haverá uma travessia sob o rio de ferro fundido e DN </w:t>
      </w:r>
      <w:proofErr w:type="gramStart"/>
      <w:r w:rsidRPr="00B454E9">
        <w:rPr>
          <w:rFonts w:ascii="Arial" w:hAnsi="Arial" w:cs="Arial"/>
          <w:lang w:val="pt-BR"/>
        </w:rPr>
        <w:t>400mm</w:t>
      </w:r>
      <w:proofErr w:type="gramEnd"/>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Interceptor IP02 Independência foi executado em quase sua totalidade prevista em projeto, restando a travessia sob a ponte da Avenida Rio Branco, no bairro Manoel Honório, com extensão de 54,00 metros (ferro fundido DN </w:t>
      </w:r>
      <w:proofErr w:type="gramStart"/>
      <w:r w:rsidRPr="00B454E9">
        <w:rPr>
          <w:rFonts w:ascii="Arial" w:hAnsi="Arial" w:cs="Arial"/>
          <w:lang w:val="pt-BR"/>
        </w:rPr>
        <w:t>700mm</w:t>
      </w:r>
      <w:proofErr w:type="gramEnd"/>
      <w:r w:rsidRPr="00B454E9">
        <w:rPr>
          <w:rFonts w:ascii="Arial" w:hAnsi="Arial" w:cs="Arial"/>
          <w:lang w:val="pt-BR"/>
        </w:rPr>
        <w:t>) e entre os poços de visita 9 e 10, com extensão de 15,00 metros (MC DN 800mm), situado na Avenida Brasil, esquina com Rua Agassis, no bairro Mariano Procópio.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especificação técnica do objeto deste certame encontra-se no arquivo "ANEXO I - ESPECIFICAÇÃO TÉCNICA", que traz normas e condições técnicas dos materiais e serviços necessários à implantação dos interceptores de esgoto IP 02/03 Independência e Mariano Procópio. É composta do memorial descritivo, de cálculo, do projeto específico de cada intervenção, da </w:t>
      </w:r>
      <w:r w:rsidRPr="00B454E9">
        <w:rPr>
          <w:rFonts w:ascii="Arial" w:hAnsi="Arial" w:cs="Arial"/>
          <w:lang w:val="pt-BR"/>
        </w:rPr>
        <w:lastRenderedPageBreak/>
        <w:t xml:space="preserve">especificação técnica, orçamento, mapa de risco e cronograma geral do conjunto de intervenções que são objeto deste processo licitatório. </w:t>
      </w:r>
    </w:p>
    <w:p w:rsidR="008F4FE3" w:rsidRPr="00456F91" w:rsidRDefault="008F4FE3" w:rsidP="00892F6C">
      <w:pPr>
        <w:pStyle w:val="PargrafodaLista"/>
        <w:numPr>
          <w:ilvl w:val="0"/>
          <w:numId w:val="8"/>
        </w:numPr>
        <w:spacing w:before="240" w:after="240" w:line="276" w:lineRule="auto"/>
        <w:contextualSpacing w:val="0"/>
        <w:jc w:val="both"/>
        <w:rPr>
          <w:rFonts w:ascii="Arial" w:hAnsi="Arial" w:cs="Arial"/>
          <w:b/>
        </w:rPr>
      </w:pPr>
      <w:r w:rsidRPr="00456F91">
        <w:rPr>
          <w:rFonts w:ascii="Arial" w:hAnsi="Arial" w:cs="Arial"/>
          <w:b/>
        </w:rPr>
        <w:t>VALOR MÁXIMO ACEITÁVEL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b/>
          <w:lang w:val="pt-BR"/>
        </w:rPr>
      </w:pPr>
      <w:r w:rsidRPr="00B454E9">
        <w:rPr>
          <w:rFonts w:ascii="Arial" w:hAnsi="Arial" w:cs="Arial"/>
          <w:b/>
          <w:lang w:val="pt-BR"/>
        </w:rPr>
        <w:t>Justificativa para a publicidade do Valor: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Justifica-se a publicidade por se tratar de uma obra de engenharia para a implantação dos IP 02/03 Independência e Mariano Procópio - obras complementares da ampliação do sistema de esgotamento sanitário da cidade de Juiz de Fora/MG, com quantitativos e projetos básico/</w:t>
      </w:r>
      <w:proofErr w:type="gramStart"/>
      <w:r w:rsidRPr="00B454E9">
        <w:rPr>
          <w:rFonts w:ascii="Arial" w:hAnsi="Arial" w:cs="Arial"/>
          <w:lang w:val="pt-BR"/>
        </w:rPr>
        <w:t>executivo bem definidos</w:t>
      </w:r>
      <w:proofErr w:type="gramEnd"/>
      <w:r w:rsidRPr="00B454E9">
        <w:rPr>
          <w:rFonts w:ascii="Arial" w:hAnsi="Arial" w:cs="Arial"/>
          <w:lang w:val="pt-BR"/>
        </w:rPr>
        <w:t>, modalidade empreitada por preço Unitário e julgamento pelo maior percentual de desconto único que incidirá linearmente sobre a planilha de orçamento.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Conforme art. 31, §2º da Lei nº 13.303/16: O orçamento de referência do custo global de obras e serviços de engenharia foi obtido a partir de custos unitários de insumos ou serviços menores ou iguais à mediana de seus correspondentes no Sistema Nacional de Pesquisa de Custo</w:t>
      </w:r>
      <w:r w:rsidR="00812070" w:rsidRPr="00B454E9">
        <w:rPr>
          <w:rFonts w:ascii="Arial" w:hAnsi="Arial" w:cs="Arial"/>
          <w:lang w:val="pt-BR"/>
        </w:rPr>
        <w:t xml:space="preserve">s e Índices da Construção Civil </w:t>
      </w:r>
      <w:r w:rsidRPr="00B454E9">
        <w:rPr>
          <w:rFonts w:ascii="Arial" w:hAnsi="Arial" w:cs="Arial"/>
          <w:lang w:val="pt-BR"/>
        </w:rPr>
        <w:t>(Sinapi), devendo ser observadas as peculiaridades geográficas.</w:t>
      </w:r>
    </w:p>
    <w:p w:rsidR="008F4FE3" w:rsidRPr="00456F91"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r w:rsidRPr="00456F91">
        <w:rPr>
          <w:rFonts w:ascii="Arial" w:hAnsi="Arial" w:cs="Arial"/>
          <w:b/>
        </w:rPr>
        <w:t xml:space="preserve">Valor </w:t>
      </w:r>
      <w:proofErr w:type="spellStart"/>
      <w:r w:rsidRPr="00456F91">
        <w:rPr>
          <w:rFonts w:ascii="Arial" w:hAnsi="Arial" w:cs="Arial"/>
          <w:b/>
        </w:rPr>
        <w:t>da</w:t>
      </w:r>
      <w:proofErr w:type="spellEnd"/>
      <w:r w:rsidRPr="00456F91">
        <w:rPr>
          <w:rFonts w:ascii="Arial" w:hAnsi="Arial" w:cs="Arial"/>
          <w:b/>
        </w:rPr>
        <w:t xml:space="preserve"> </w:t>
      </w:r>
      <w:proofErr w:type="spellStart"/>
      <w:r w:rsidRPr="00456F91">
        <w:rPr>
          <w:rFonts w:ascii="Arial" w:hAnsi="Arial" w:cs="Arial"/>
          <w:b/>
        </w:rPr>
        <w:t>Obra</w:t>
      </w:r>
      <w:proofErr w:type="spellEnd"/>
    </w:p>
    <w:p w:rsidR="008F4FE3"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O valor total estimado para a execução dos IP 02/03 Independência e Mariano Procópio é de </w:t>
      </w:r>
      <w:r w:rsidRPr="00B454E9">
        <w:rPr>
          <w:rFonts w:ascii="Arial" w:hAnsi="Arial" w:cs="Arial"/>
          <w:b/>
          <w:lang w:val="pt-BR"/>
        </w:rPr>
        <w:t>R$ 5.719.894,90 (cinco milhões setecentos e dezenove mil e oitocentos e noventa e quatro reais e noventa centavos)</w:t>
      </w:r>
      <w:r w:rsidRPr="00B454E9">
        <w:rPr>
          <w:rFonts w:ascii="Arial" w:hAnsi="Arial" w:cs="Arial"/>
          <w:lang w:val="pt-BR"/>
        </w:rPr>
        <w:t>, conforme discriminado na planilha de orçamento.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planilha de custos e o Cronograma fí</w:t>
      </w:r>
      <w:r w:rsidR="001F73E7" w:rsidRPr="00B454E9">
        <w:rPr>
          <w:rFonts w:ascii="Arial" w:hAnsi="Arial" w:cs="Arial"/>
          <w:lang w:val="pt-BR"/>
        </w:rPr>
        <w:t>sico-financeiro encontram-se no</w:t>
      </w:r>
      <w:r w:rsidRPr="00B454E9">
        <w:rPr>
          <w:rFonts w:ascii="Arial" w:hAnsi="Arial" w:cs="Arial"/>
          <w:lang w:val="pt-BR"/>
        </w:rPr>
        <w:t xml:space="preserve"> Anexo I.</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atribuição de risco à contratada prevista no Mapa de Risco tem seu custo previsto na planilha de cálculo do BDI.</w:t>
      </w:r>
    </w:p>
    <w:p w:rsidR="008F4FE3" w:rsidRPr="008D1C9A" w:rsidRDefault="008F4FE3" w:rsidP="00892F6C">
      <w:pPr>
        <w:pStyle w:val="PargrafodaLista"/>
        <w:numPr>
          <w:ilvl w:val="0"/>
          <w:numId w:val="8"/>
        </w:numPr>
        <w:spacing w:before="240" w:after="240" w:line="276" w:lineRule="auto"/>
        <w:contextualSpacing w:val="0"/>
        <w:jc w:val="both"/>
        <w:rPr>
          <w:rFonts w:ascii="Arial" w:hAnsi="Arial" w:cs="Arial"/>
          <w:b/>
        </w:rPr>
      </w:pPr>
      <w:r w:rsidRPr="008D1C9A">
        <w:rPr>
          <w:rFonts w:ascii="Arial" w:hAnsi="Arial" w:cs="Arial"/>
          <w:b/>
        </w:rPr>
        <w:t>MEDIÇÕES E PAGAMENTOS</w:t>
      </w: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8D1C9A">
        <w:rPr>
          <w:rFonts w:ascii="Arial" w:hAnsi="Arial" w:cs="Arial"/>
          <w:b/>
        </w:rPr>
        <w:t>Medições</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serão elaboradas mensalmente pelo gestor do Contrato designado pela CESAMA, e deter-se-ão sobre os serviços entregues e aceitos no período preferencialmente correspondente ao dia 1º a 30 ou 31 de cada mês, para fins de registro contábil e pagamento, ou em outro período determinado pela fiscalização da CESAMA, preferencialmente de acordo com o Cronograma físico-financeiro anexo a este Termo de Referência.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somente serão efetuadas se ocorrerem serviços no período supramencionado, respeitado o cronograma físico financeiro anexado a este instrumento.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poderão ser efetivadas até 10 (dez) dias do mês subsequente ao período considerado no item 6.1.1, data limite para emissão pela CESAMA da ordem de faturamento.</w:t>
      </w: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r w:rsidRPr="008D1C9A">
        <w:rPr>
          <w:rFonts w:ascii="Arial" w:hAnsi="Arial" w:cs="Arial"/>
          <w:b/>
        </w:rPr>
        <w:t xml:space="preserve">Do </w:t>
      </w:r>
      <w:proofErr w:type="spellStart"/>
      <w:r w:rsidRPr="008D1C9A">
        <w:rPr>
          <w:rFonts w:ascii="Arial" w:hAnsi="Arial" w:cs="Arial"/>
          <w:b/>
        </w:rPr>
        <w:t>pagamento</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CESAMA efetuará os pagamentos relativos aos compromissos assumidos, através de medição mensal, 30 (trinta) dias após a apresentação e aceitação da Nota Fiscal / Fatura pelo gestor do Contrato.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Caso o vencimento ocorra no sábado, domingo, feriado ou ponto facultativo para a Cesama, o pagamento será realizado no primeiro dia subseqüente. </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será efetuado de acordo com o cronograma físico financeiro, através de depósito em conta bancária ou via TED (transferência eletrônica disponível), cujas tarifas extras correrão por conta da CONTRATADA.</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A Nota Fiscal Eletrônica – NF-e – deverá ser enviada para o e-mail nfe@cesama.com.br.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só poderá ser realizado em nome da Contratada e os boletos não poderão, em hipótese nenhuma, ser pagos em nome de outro beneficiário.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Deverá constar na descrição da Nota Fiscal / Fatura o número da licitação e número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SOMENTE será efetuado: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Após a aceitação da Nota Fiscal / Fatura.</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 xml:space="preserve">Após o recolhimento pela </w:t>
      </w:r>
      <w:proofErr w:type="gramStart"/>
      <w:r w:rsidR="00A93F5B">
        <w:rPr>
          <w:rFonts w:ascii="Arial" w:hAnsi="Arial" w:cs="Arial"/>
          <w:sz w:val="24"/>
          <w:szCs w:val="24"/>
        </w:rPr>
        <w:t>Contratada</w:t>
      </w:r>
      <w:r w:rsidR="008F4FE3" w:rsidRPr="008F4FE3">
        <w:rPr>
          <w:rFonts w:ascii="Arial" w:hAnsi="Arial" w:cs="Arial"/>
          <w:sz w:val="24"/>
          <w:szCs w:val="24"/>
        </w:rPr>
        <w:t xml:space="preserve"> de quaisquer multas que lhe tenham sido impostas em decorrência de inadimplemento contratual</w:t>
      </w:r>
      <w:proofErr w:type="gramEnd"/>
      <w:r w:rsidR="008F4FE3" w:rsidRPr="008F4FE3">
        <w:rPr>
          <w:rFonts w:ascii="Arial" w:hAnsi="Arial" w:cs="Arial"/>
          <w:sz w:val="24"/>
          <w:szCs w:val="24"/>
        </w:rPr>
        <w:t>.</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Após o cumprimento do disposto no item 6.2.5.</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Para efetivação do pagamento, a Contratada deverá:</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Elaborar Folha de Pagamento contendo nome do empregado, número da Carteira de Trabalho</w:t>
      </w:r>
      <w:r w:rsidR="0038248E">
        <w:rPr>
          <w:rFonts w:ascii="Arial" w:hAnsi="Arial" w:cs="Arial"/>
          <w:sz w:val="24"/>
          <w:szCs w:val="24"/>
        </w:rPr>
        <w:t xml:space="preserve"> e Previdência Social – CTPS</w:t>
      </w:r>
      <w:proofErr w:type="gramStart"/>
      <w:r w:rsidR="0038248E">
        <w:rPr>
          <w:rFonts w:ascii="Arial" w:hAnsi="Arial" w:cs="Arial"/>
          <w:sz w:val="24"/>
          <w:szCs w:val="24"/>
        </w:rPr>
        <w:t xml:space="preserve">, </w:t>
      </w:r>
      <w:r w:rsidR="008F4FE3" w:rsidRPr="008F4FE3">
        <w:rPr>
          <w:rFonts w:ascii="Arial" w:hAnsi="Arial" w:cs="Arial"/>
          <w:sz w:val="24"/>
          <w:szCs w:val="24"/>
        </w:rPr>
        <w:t>data</w:t>
      </w:r>
      <w:proofErr w:type="gramEnd"/>
      <w:r w:rsidR="008F4FE3" w:rsidRPr="008F4FE3">
        <w:rPr>
          <w:rFonts w:ascii="Arial" w:hAnsi="Arial" w:cs="Arial"/>
          <w:sz w:val="24"/>
          <w:szCs w:val="24"/>
        </w:rPr>
        <w:t xml:space="preserve"> de admissão e salário pago relativo aos empregados designados para a prestação dos serviços;</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Apresentar cópia do contra cheque e folha de ponto de cada empregado;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d) </w:t>
      </w:r>
      <w:r w:rsidR="008F4FE3" w:rsidRPr="008F4FE3">
        <w:rPr>
          <w:rFonts w:ascii="Arial" w:hAnsi="Arial" w:cs="Arial"/>
          <w:sz w:val="24"/>
          <w:szCs w:val="24"/>
        </w:rPr>
        <w:t xml:space="preserve">Apresentar junto com a Nota Fiscal / Fatura </w:t>
      </w:r>
      <w:proofErr w:type="gramStart"/>
      <w:r w:rsidR="008F4FE3" w:rsidRPr="008F4FE3">
        <w:rPr>
          <w:rFonts w:ascii="Arial" w:hAnsi="Arial" w:cs="Arial"/>
          <w:sz w:val="24"/>
          <w:szCs w:val="24"/>
        </w:rPr>
        <w:t>a RE (Relação de Empregados) constantes no Arquivo</w:t>
      </w:r>
      <w:proofErr w:type="gramEnd"/>
      <w:r w:rsidR="008F4FE3" w:rsidRPr="008F4FE3">
        <w:rPr>
          <w:rFonts w:ascii="Arial" w:hAnsi="Arial" w:cs="Arial"/>
          <w:sz w:val="24"/>
          <w:szCs w:val="24"/>
        </w:rPr>
        <w:t xml:space="preserve"> SEFIP (Sistema Empresa de Recolhimento do FGTS e Informações à Previdência Social), para comprovar o recolhimento devido;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e) </w:t>
      </w:r>
      <w:r w:rsidR="008F4FE3" w:rsidRPr="008F4FE3">
        <w:rPr>
          <w:rFonts w:ascii="Arial" w:hAnsi="Arial" w:cs="Arial"/>
          <w:sz w:val="24"/>
          <w:szCs w:val="24"/>
        </w:rPr>
        <w:t>Anexar à Nota Fiscal / Fatura cópia da Guia de Recolhimento do FGTS e Informações à Previdência Social – (GFIP) e da Guia da Previdência Social – (GPS), relativas aos empregados designados para trabalhar no serviço, objeto desta licitação;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f) </w:t>
      </w:r>
      <w:r w:rsidR="008F4FE3" w:rsidRPr="008F4FE3">
        <w:rPr>
          <w:rFonts w:ascii="Arial" w:hAnsi="Arial" w:cs="Arial"/>
          <w:sz w:val="24"/>
          <w:szCs w:val="24"/>
        </w:rPr>
        <w:t>Anexar à Nota Fiscal / Fatura as certidões atualizadas de regularidade junto ao INSS, ao FGTS e a Justiça do Trabalho.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Todos os valores apresentados deverão estar de acordo com o salário mínimo da classe a que pertencer os empregados, sem o qual a CESAMA ficará inibida da quitação da Nota Fiscal / Fatura.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recolhimento do INSS e do FGTS referente aos serviços deverá ser feito de forma individualizada, por tomador, e esta condição deverá ser comprovada mensalmente, a cada emissão de Nota Fiscal.</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Os pagamentos a serem efetuados em favor da CONTRATADA, quando couber, estarão sujeitos à retenção, na fonte, dos tributos que incidirem sobre o objeto deste Termo.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CNPJ da Contratada constante da Nota Fiscal / Fatura deverá ser o mesmo da documentação apresentada no procedimento licitatório.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Será utilizado o </w:t>
      </w:r>
      <w:r w:rsidRPr="00A93F5B">
        <w:rPr>
          <w:rFonts w:ascii="Arial" w:hAnsi="Arial" w:cs="Arial"/>
          <w:b/>
          <w:lang w:val="pt-BR"/>
        </w:rPr>
        <w:t>INCC</w:t>
      </w:r>
      <w:r w:rsidRPr="00B454E9">
        <w:rPr>
          <w:rFonts w:ascii="Arial" w:hAnsi="Arial" w:cs="Arial"/>
          <w:lang w:val="pt-BR"/>
        </w:rPr>
        <w:t xml:space="preserve"> como índice para reajuste de preços nos contratos da CESAMA, quando couber, e o marco inicial para concessão do reajuste ser</w:t>
      </w:r>
      <w:r w:rsidR="00D21800">
        <w:rPr>
          <w:rFonts w:ascii="Arial" w:hAnsi="Arial" w:cs="Arial"/>
          <w:lang w:val="pt-BR"/>
        </w:rPr>
        <w:t xml:space="preserve">á a </w:t>
      </w:r>
      <w:r w:rsidR="00D21800" w:rsidRPr="00A93F5B">
        <w:rPr>
          <w:rFonts w:ascii="Arial" w:hAnsi="Arial" w:cs="Arial"/>
          <w:b/>
          <w:lang w:val="pt-BR"/>
        </w:rPr>
        <w:t>data base do orçamento de 02</w:t>
      </w:r>
      <w:r w:rsidRPr="00A93F5B">
        <w:rPr>
          <w:rFonts w:ascii="Arial" w:hAnsi="Arial" w:cs="Arial"/>
          <w:b/>
          <w:lang w:val="pt-BR"/>
        </w:rPr>
        <w:t>/2022</w:t>
      </w:r>
      <w:r w:rsidRPr="00B454E9">
        <w:rPr>
          <w:rFonts w:ascii="Arial" w:hAnsi="Arial" w:cs="Arial"/>
          <w:lang w:val="pt-BR"/>
        </w:rPr>
        <w:t>.</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Contratada não poderá ceder ou dar em garantia, em qualquer hipótese, no todo ou em parte, os créditos de qualquer natureza, decorrentes ou oriundos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Cesama poderá realizar o pagamento antes do prazo definido no item 6.2.1, através de solicitação expressa da Contratada,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“pro rata”.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A antecipação de pagamento só poderá ocorrer caso o serviço tenha sido executado. </w:t>
      </w:r>
    </w:p>
    <w:p w:rsidR="008F4FE3" w:rsidRPr="006A17B4" w:rsidRDefault="008F4FE3" w:rsidP="00892F6C">
      <w:pPr>
        <w:pStyle w:val="PargrafodaLista"/>
        <w:numPr>
          <w:ilvl w:val="0"/>
          <w:numId w:val="8"/>
        </w:numPr>
        <w:spacing w:before="240" w:after="240" w:line="276" w:lineRule="auto"/>
        <w:contextualSpacing w:val="0"/>
        <w:jc w:val="both"/>
        <w:rPr>
          <w:rFonts w:ascii="Arial" w:hAnsi="Arial" w:cs="Arial"/>
          <w:b/>
        </w:rPr>
      </w:pPr>
      <w:r w:rsidRPr="006A17B4">
        <w:rPr>
          <w:rFonts w:ascii="Arial" w:hAnsi="Arial" w:cs="Arial"/>
          <w:b/>
        </w:rPr>
        <w:t>OBRIGAÇÕES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Executar o Contrato fielmente, conforme definido neste Termo, no Edital e em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Reparar, corrigir, remover, reconstruir ou substituir, às suas expensas, no total ou em parte, objeto do Contrato em que se verificarem vícios, defeitos ou incorreções resultantes da execução.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danos causados diretamente à CESAMA ou a terceiros, decorrente de sua culpa ou dolo na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pela qualidade dos serviços, substituindo, imediatamente, aqueles que apresentarem qualquer tipo de vício ou imperfeição, ou não se adequarem ao serviço especificado, sob pena de aplicação das sanções cabíveis, inclusive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os prazos previstos em Edital ou outros que venham a ser fixados pela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Dirimir qualquer dúvida e prestar esclarecimentos acerca da execução do Contrato, durante toda a sua vigência, a pedido da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encargos trabalhistas, previdenciários, fiscais e comerciais, resultantes da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Encaminhar antes do início dos serviços ao DEST - Departamento de Saúde e Segurança no Trabalho da CESAMA (smt@cesama.com.br), no prazo máximo de 15 (quinze) dias após a assinatura do contrato, os documentos abaixo relacionados, sem os quais, não será emitida a Ordem de Serviço:</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a</w:t>
      </w:r>
      <w:proofErr w:type="gramEnd"/>
      <w:r w:rsidRPr="008F4FE3">
        <w:rPr>
          <w:rFonts w:ascii="Arial" w:hAnsi="Arial" w:cs="Arial"/>
          <w:sz w:val="24"/>
          <w:szCs w:val="24"/>
        </w:rPr>
        <w:t>)</w:t>
      </w:r>
      <w:r w:rsidRPr="008F4FE3">
        <w:rPr>
          <w:rFonts w:ascii="Arial" w:hAnsi="Arial" w:cs="Arial"/>
          <w:sz w:val="24"/>
          <w:szCs w:val="24"/>
        </w:rPr>
        <w:tab/>
        <w:t>PGR – Programa de Gerenciamento de Riscos, conforme legislação aplicável a contratada;</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b)</w:t>
      </w:r>
      <w:proofErr w:type="gramEnd"/>
      <w:r w:rsidRPr="008F4FE3">
        <w:rPr>
          <w:rFonts w:ascii="Arial" w:hAnsi="Arial" w:cs="Arial"/>
          <w:sz w:val="24"/>
          <w:szCs w:val="24"/>
        </w:rPr>
        <w:tab/>
        <w:t>PCMSO – Programa de Controle Médico de Saúde Ocupacional;</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c)</w:t>
      </w:r>
      <w:proofErr w:type="gramEnd"/>
      <w:r w:rsidRPr="008F4FE3">
        <w:rPr>
          <w:rFonts w:ascii="Arial" w:hAnsi="Arial" w:cs="Arial"/>
          <w:sz w:val="24"/>
          <w:szCs w:val="24"/>
        </w:rPr>
        <w:tab/>
        <w:t>PCMAT- Programa de Condições e Meio Ambiente de Trabalho da Indústria da Construção e;</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d)</w:t>
      </w:r>
      <w:proofErr w:type="gramEnd"/>
      <w:r w:rsidRPr="008F4FE3">
        <w:rPr>
          <w:rFonts w:ascii="Arial" w:hAnsi="Arial" w:cs="Arial"/>
          <w:sz w:val="24"/>
          <w:szCs w:val="24"/>
        </w:rPr>
        <w:tab/>
        <w:t>Cópia de Fichas de EPI dos funcionários, devidamente assinadas;</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e</w:t>
      </w:r>
      <w:proofErr w:type="gramEnd"/>
      <w:r w:rsidRPr="008F4FE3">
        <w:rPr>
          <w:rFonts w:ascii="Arial" w:hAnsi="Arial" w:cs="Arial"/>
          <w:sz w:val="24"/>
          <w:szCs w:val="24"/>
        </w:rPr>
        <w:t>)</w:t>
      </w:r>
      <w:r w:rsidRPr="008F4FE3">
        <w:rPr>
          <w:rFonts w:ascii="Arial" w:hAnsi="Arial" w:cs="Arial"/>
          <w:sz w:val="24"/>
          <w:szCs w:val="24"/>
        </w:rPr>
        <w:tab/>
        <w:t>ASO – Atestado de Saúde Ocupacional de todos os funcionários (Admissional, periódico e Demissional, conforme o caso);</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f)</w:t>
      </w:r>
      <w:proofErr w:type="gramEnd"/>
      <w:r w:rsidRPr="008F4FE3">
        <w:rPr>
          <w:rFonts w:ascii="Arial" w:hAnsi="Arial" w:cs="Arial"/>
          <w:sz w:val="24"/>
          <w:szCs w:val="24"/>
        </w:rPr>
        <w:tab/>
        <w:t>Apresentar o nome e telefone para contato do responsável pela Segurança e  Medicina do Trabalho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Havendo alteração na equipe de trabalho que atuará na execução do objeto, a CONTRATADA fica obrigada a apresentar à CESAMA os documentos relacionados no item 7.8, referentes ao empregado admitido e que irá compor a equipe de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cada renovação contratual, fica a CONTRATADA obrigada a reapresentar a documentação relacionada no item 7.8.</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Atender as normas e procedimentos vigentes, e/ou fornecidos pela CESAMA, observando sempre as versões atualizadas.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todos os materiais e insumos necessários à execução dos serviços, os quais já possuem seus custos previstos nos preços unitários dos serviços.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atualizado cadastro de equipes de campo junto à CESAMA, contendo dados relativos a número de equipes em atividade, descrição das atividades de cada equipe, setorização das equipes.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Em situações excepcionais, face à sua urgência, gravidade ou vulto, mesmo que extrapole o horário normal de expediente, o Encarregado elou Engenheiros responsáveis deverão se </w:t>
      </w:r>
      <w:proofErr w:type="gramStart"/>
      <w:r w:rsidRPr="00B454E9">
        <w:rPr>
          <w:rFonts w:ascii="Arial" w:hAnsi="Arial" w:cs="Arial"/>
          <w:lang w:val="pt-BR"/>
        </w:rPr>
        <w:t>fazer</w:t>
      </w:r>
      <w:proofErr w:type="gramEnd"/>
      <w:r w:rsidRPr="00B454E9">
        <w:rPr>
          <w:rFonts w:ascii="Arial" w:hAnsi="Arial" w:cs="Arial"/>
          <w:lang w:val="pt-BR"/>
        </w:rPr>
        <w:t xml:space="preserve"> presentes.</w:t>
      </w:r>
    </w:p>
    <w:p w:rsidR="008F4FE3" w:rsidRPr="002C5D60" w:rsidRDefault="008F4FE3" w:rsidP="00892F6C">
      <w:pPr>
        <w:pStyle w:val="PargrafodaLista"/>
        <w:numPr>
          <w:ilvl w:val="0"/>
          <w:numId w:val="8"/>
        </w:numPr>
        <w:spacing w:before="240" w:after="240" w:line="276" w:lineRule="auto"/>
        <w:contextualSpacing w:val="0"/>
        <w:jc w:val="both"/>
        <w:rPr>
          <w:rFonts w:ascii="Arial" w:hAnsi="Arial" w:cs="Arial"/>
          <w:b/>
        </w:rPr>
      </w:pPr>
      <w:r w:rsidRPr="002C5D60">
        <w:rPr>
          <w:rFonts w:ascii="Arial" w:hAnsi="Arial" w:cs="Arial"/>
          <w:b/>
        </w:rPr>
        <w:t>ORIENTAÇÕES DE SEGURANÇA DO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será responsável pela substituição dos profissionais contratados caso estes não atendam às necessidades da CESAMA ou apresentem atitudes incompatíveis com as normas de saúde e segurança.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e fazer seus funcionários cumprirem todas as normas de segurança e medicina do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Instruir seus empregados, usando treinamentos admissionais e periódicos, além de outros meios, quanto às precauções a tomar para evitar acidentes do trabalho, doenças ocupacionais e fadiga;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Não permitir o acesso às áreas da obra de funcionários trajando roupas inadequadas ou sem equipamentos de proteção individual;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Constituir e manter a CIPA (ou designado) ou Comissão Provisória de Prevenção de Acidente e o SESMT obedecendo a normas específicas;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todos os equipamentos de proteção necessários (priorizando os coletivos ante os individuais) e treinar os trabalhadores sobre o uso e limitações;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Realizar os exames médicos previstos em lei com a devida periodicidade;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Cumprir com todas as exigências legais em caos de acidentes de trabalho e doenças ocupacionais, </w:t>
      </w:r>
      <w:proofErr w:type="gramStart"/>
      <w:r w:rsidRPr="00B454E9">
        <w:rPr>
          <w:rFonts w:ascii="Arial" w:hAnsi="Arial" w:cs="Arial"/>
          <w:lang w:val="pt-BR"/>
        </w:rPr>
        <w:t>comunicar</w:t>
      </w:r>
      <w:proofErr w:type="gramEnd"/>
      <w:r w:rsidRPr="00B454E9">
        <w:rPr>
          <w:rFonts w:ascii="Arial" w:hAnsi="Arial" w:cs="Arial"/>
          <w:lang w:val="pt-BR"/>
        </w:rPr>
        <w:t xml:space="preserve"> formalmente à Cesama acidentes e doenças relacionadas ao trabalho com as devidas providências tomadas para correção das causas;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Comunicar formalmente à Cesama a ocorrência de incidentes (quase acidentes potenciais, acidentes com danos materiais e outros de mesma natureza);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equipamentos de trabalho adequados e com manutenção realizada operados por trabalhadores treinados em seu uso;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Se fizer utilização de escadas portáteis construídas de madeira, essas não poderão ser pintadas.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Pranchões de madeira utilizados em andaime não poderão ser pintados e serem de madeira dura sem nós, excluindo madeiras como pinus, araucária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Informar à CESAMA se aplicável os produtos químicos utilizados no processo mantendo cópias das FISPQ nos locais de trabalho para consultas pela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os rótulos dos produtos utilizados afixados em seus recipientes, assim como gerar orientação formal sobre condições seguras de armazenamento (reações químicas, Inflamabilidade, quedas,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Realizar o pagamento de adicional de insalubridade pelo local de execução e/ou pelas atividades propriamente ditas;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em altura – NR 35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segurança em instalações e serviços em eletricidade - NR-10 (quando aplicável) e não permitir a realização de atividades que envolvam risco elétrico por pessoa não autorizada;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em espaços confinados – NR 33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de trabalho com máquinas e equipamentos – NR 12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legislação aplicável a NR 24 - Condições Sanitárias e de Conforto nos Locais de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legislação aplicável a NR 18 - Condições Segurança na Indústria da Construção Civil;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o proposto no PGR, PCMSO e demais programas destinados à manutenção da segurança e saúde dos trabalhadores;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Contatar o gestor do contrato e/ou o setor de Segurança e Medicina do Trabalho da CESAMA se houver alguma dúvida relativa ao cumprimento destas orientações.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Utilizar as áreas de vivência (inclusive refeitórios) da CESAMA, quando possível e viável, para seus funcionários ou manter permanentemente local adequado, conforme legislação vigente, incluindo-se também a proteção contra intempéries;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Providenciar meios adequados para aquecimento das refeições, sendo proibido uso de fogareiros improvisados;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água potável aos funcionários no local de trabalho em condições e quantidades adequadas ficando proibido o uso de copos coletivos;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Manter próximo ao local de trabalho instalações sanitária adequadas, inclusive com estrutura </w:t>
      </w:r>
      <w:r w:rsidR="00C02476" w:rsidRPr="00B454E9">
        <w:rPr>
          <w:rFonts w:ascii="Arial" w:hAnsi="Arial" w:cs="Arial"/>
          <w:lang w:val="pt-BR"/>
        </w:rPr>
        <w:t xml:space="preserve">para higienização das mãos, etc, </w:t>
      </w:r>
      <w:r w:rsidRPr="00B454E9">
        <w:rPr>
          <w:rFonts w:ascii="Arial" w:hAnsi="Arial" w:cs="Arial"/>
          <w:lang w:val="pt-BR"/>
        </w:rPr>
        <w:t>(quando necessário); Atentar para adequação de alojamentos conforme legislação vigente (quando necessário);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Atender às exigências das Normas de Segurança no que tange a rampas, plataformas de trabalho, escadas de acesso, andaimes, etc., assim como a movimentação de cargas;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a área de trabalho organizada;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Transportar os trabalhadores em condições adequadas conforme legislação vigente usando vans, cabines suplementares,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Promover a sinalização de segurança em vias públicas deve ser dirigido para alertar os motoristas, pedestres e em conformidade com as determinações do órgão competente;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Escavar obedecendo às normas vigentes (inclusive NBR 9061/85) garantindo estabilidade do talude, sinalização adequada, colocação de material retirado e meio de acesso/saída da escavação;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Atentar para destinação correta de resíduos sólidos e líquidos, conforme legislação específica;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Apresentar ao gestor do contrato, com cópia ao DEST - Departamento de Saúde e Segurança no Trabalho da CESAMA (smt@cesama.com.br):</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Mensalmente relação de funcionários atualizada;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Relações de funcionários capacitados e autorizados a trabalharem com instalações elétricas, que trabalham em altura, espaço confinado, ou outras atividades e equipamentos que necessitem de mão de obra específica;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Procedimentos de trabalho considerando a prevenção de exposição aos riscos de atividades rotineiras;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Análises preliminares de risco de execução de tarefas não rotineiras;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empresa deverá fornecer uniformes com as informações destacadas “A serviço da Cesama” como também de forma destacada o “logo” da empresa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Todos os veículos a serem utilizados no contrato deverão ser identificação com informações destacadas “A serviço da Cesama” como também de forma destacada o “logo” da empresa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Todos os condutores de veículos e equipamentos móveis deverão ser habilitados (CNH) conforme classificação dos equipamentos.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Cada equipamento deverá ter sua capacidade de carga respeitada conforme legislação.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caminhões tipo caçamba que podem ser carregados de forma manual não poderá ter sua caçamba com altura superior a 2 metros.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Ter um profissional Técnico de Segurança disponível para fiscalização e acompanhamento de obras.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Não se devem desconsiderar outras normas regulamentadoras e/ou legislações aplicáveis.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No termo funcionário devem-se entender trabalhadores próprios e/ou subcontratados.</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OBRIGAÇÕES DA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Emitir a Ordem de Serviço, indicando o início da execução dos serviços e do prazo contratual.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Efetuar todos os pagamentos devidos à Contratada, nas condições estabelecidas.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Fiscalizar a execução do Contrato, o que não fará cessar ou diminuir a responsabilidade da Contratada pelo perfeito cumprimento das obrigações estipuladas, nem por quaisquer danos, inclusive quanto a terceiros, ou por irregularidades constatadas;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Rejeitar todo e qualquer serviço de má qualidade e em desconformidade com o Termo de Referência.</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 xml:space="preserve">JULGAMENTO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critério de julgamento será pelo </w:t>
      </w:r>
      <w:r w:rsidRPr="00B454E9">
        <w:rPr>
          <w:rFonts w:ascii="Arial" w:hAnsi="Arial" w:cs="Arial"/>
          <w:b/>
          <w:lang w:val="pt-BR"/>
        </w:rPr>
        <w:t>MAIOR DESCONTO</w:t>
      </w:r>
      <w:r w:rsidRPr="00B454E9">
        <w:rPr>
          <w:rFonts w:ascii="Arial" w:hAnsi="Arial" w:cs="Arial"/>
          <w:lang w:val="pt-BR"/>
        </w:rPr>
        <w:t xml:space="preserve">, representado pelo </w:t>
      </w:r>
      <w:r w:rsidRPr="00B454E9">
        <w:rPr>
          <w:rFonts w:ascii="Arial" w:hAnsi="Arial" w:cs="Arial"/>
          <w:b/>
          <w:lang w:val="pt-BR"/>
        </w:rPr>
        <w:t>MAIOR PERCENTUAL DE DESCONTO ÚNICO</w:t>
      </w:r>
      <w:r w:rsidRPr="00B454E9">
        <w:rPr>
          <w:rFonts w:ascii="Arial" w:hAnsi="Arial" w:cs="Arial"/>
          <w:lang w:val="pt-BR"/>
        </w:rPr>
        <w:t xml:space="preserve"> que incidirá linearmente sobre a planilha de orçamento da CESAMA desde que observadas às especificações e demais condições estabelecidas no Edital e seus anexos e Regime de </w:t>
      </w:r>
      <w:r w:rsidR="00E03DB3" w:rsidRPr="00B454E9">
        <w:rPr>
          <w:rFonts w:ascii="Arial" w:hAnsi="Arial" w:cs="Arial"/>
          <w:b/>
          <w:lang w:val="pt-BR"/>
        </w:rPr>
        <w:t>EMPREITADA POR PREÇO UNITÁRIO</w:t>
      </w:r>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mapa de riscos e alocação das responsabilidades </w:t>
      </w:r>
      <w:proofErr w:type="gramStart"/>
      <w:r w:rsidRPr="00B454E9">
        <w:rPr>
          <w:rFonts w:ascii="Arial" w:hAnsi="Arial" w:cs="Arial"/>
          <w:lang w:val="pt-BR"/>
        </w:rPr>
        <w:t>encontram-se</w:t>
      </w:r>
      <w:proofErr w:type="gramEnd"/>
      <w:r w:rsidRPr="00B454E9">
        <w:rPr>
          <w:rFonts w:ascii="Arial" w:hAnsi="Arial" w:cs="Arial"/>
          <w:lang w:val="pt-BR"/>
        </w:rPr>
        <w:t xml:space="preserve"> em Anexo neste Termo de Referência.</w:t>
      </w:r>
    </w:p>
    <w:p w:rsidR="008F4FE3" w:rsidRPr="003E51F1" w:rsidRDefault="00F7412D"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 xml:space="preserve"> </w:t>
      </w:r>
      <w:r w:rsidR="008F4FE3" w:rsidRPr="003E51F1">
        <w:rPr>
          <w:rFonts w:ascii="Arial" w:hAnsi="Arial" w:cs="Arial"/>
          <w:b/>
        </w:rPr>
        <w:t>PENALIDADES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8F4FE3" w:rsidRPr="00BF274C"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BF274C">
        <w:rPr>
          <w:rFonts w:ascii="Arial" w:hAnsi="Arial" w:cs="Arial"/>
          <w:b/>
        </w:rPr>
        <w:t>CONDIÇÕES GERAIS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Contrato obedecerá às disposições da Lei Federal nº 13.303 de 30/06/2016 e alterações posteriores, bem como as disposições do Edital e preceitos do direito privado, no que concerne a sua execução, alteração, inexecução ou rescisão.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São partes integrantes do Contrato, independente de transcrição, o Aviso de Licitação, o Edital e seus anexos, o Termo de Referência e a proposta do licitante vencedor e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 prazo definido no item 12.3 poderá ser prorrogado </w:t>
      </w:r>
      <w:proofErr w:type="gramStart"/>
      <w:r w:rsidRPr="00B454E9">
        <w:rPr>
          <w:rFonts w:ascii="Arial" w:hAnsi="Arial" w:cs="Arial"/>
          <w:lang w:val="pt-BR"/>
        </w:rPr>
        <w:t>1</w:t>
      </w:r>
      <w:proofErr w:type="gramEnd"/>
      <w:r w:rsidRPr="00B454E9">
        <w:rPr>
          <w:rFonts w:ascii="Arial" w:hAnsi="Arial" w:cs="Arial"/>
          <w:lang w:val="pt-BR"/>
        </w:rPr>
        <w:t xml:space="preserve"> (uma) vez, por igual período.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Decorrido o prazo do item anterior e não comparecendo o licitante vencedor para a assinatura do Contrato, o mesmo será considerado como desistente.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Ocorrendo a hipótese descrita no item 12.4, serão convocados, sucessivamente, para contratação os licitantes classificados imediatamente após o desistente, dentro dos prazos e nas mesmas condições do primeiro classificado, inclusive quanto ao preço oferecido, conforme art. 75 da Lei 13.303/2016</w:t>
      </w:r>
      <w:r w:rsidR="00C02476" w:rsidRPr="00B454E9">
        <w:rPr>
          <w:rFonts w:ascii="Arial" w:hAnsi="Arial" w:cs="Arial"/>
          <w:lang w:val="pt-BR"/>
        </w:rPr>
        <w:t xml:space="preserve"> </w:t>
      </w:r>
      <w:r w:rsidRPr="00B454E9">
        <w:rPr>
          <w:rFonts w:ascii="Arial" w:hAnsi="Arial" w:cs="Arial"/>
          <w:lang w:val="pt-BR"/>
        </w:rPr>
        <w:t>ou na impossibilidade de se aplicar o disposto no referido artigo a Cesama deverá revogar a licitação.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início dos serviços ocorrerá imediatamente após a emissão da Ordem de Serviço pelo departamento competente da CESAMA, após a assinatura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 xml:space="preserve">A vigência do </w:t>
      </w:r>
      <w:r w:rsidR="00CA3279" w:rsidRPr="00B454E9">
        <w:rPr>
          <w:rFonts w:ascii="Arial" w:hAnsi="Arial" w:cs="Arial"/>
          <w:b/>
          <w:lang w:val="pt-BR"/>
        </w:rPr>
        <w:t>Contrato será de 10 (dez</w:t>
      </w:r>
      <w:r w:rsidRPr="00B454E9">
        <w:rPr>
          <w:rFonts w:ascii="Arial" w:hAnsi="Arial" w:cs="Arial"/>
          <w:b/>
          <w:lang w:val="pt-BR"/>
        </w:rPr>
        <w:t>) meses</w:t>
      </w:r>
      <w:r w:rsidRPr="00B454E9">
        <w:rPr>
          <w:rFonts w:ascii="Arial" w:hAnsi="Arial" w:cs="Arial"/>
          <w:lang w:val="pt-BR"/>
        </w:rPr>
        <w:t xml:space="preserve"> a partir da data da </w:t>
      </w:r>
      <w:r w:rsidR="006A225E">
        <w:rPr>
          <w:rFonts w:ascii="Arial" w:hAnsi="Arial" w:cs="Arial"/>
          <w:lang w:val="pt-BR"/>
        </w:rPr>
        <w:t>sua assinatura</w:t>
      </w:r>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 xml:space="preserve">O prazo de execução </w:t>
      </w:r>
      <w:r w:rsidR="00CA3279" w:rsidRPr="00B454E9">
        <w:rPr>
          <w:rFonts w:ascii="Arial" w:hAnsi="Arial" w:cs="Arial"/>
          <w:b/>
          <w:lang w:val="pt-BR"/>
        </w:rPr>
        <w:t xml:space="preserve">do contrato é de </w:t>
      </w:r>
      <w:proofErr w:type="gramStart"/>
      <w:r w:rsidR="00CA3279" w:rsidRPr="00B454E9">
        <w:rPr>
          <w:rFonts w:ascii="Arial" w:hAnsi="Arial" w:cs="Arial"/>
          <w:b/>
          <w:lang w:val="pt-BR"/>
        </w:rPr>
        <w:t>7</w:t>
      </w:r>
      <w:proofErr w:type="gramEnd"/>
      <w:r w:rsidR="00CA3279" w:rsidRPr="00B454E9">
        <w:rPr>
          <w:rFonts w:ascii="Arial" w:hAnsi="Arial" w:cs="Arial"/>
          <w:b/>
          <w:lang w:val="pt-BR"/>
        </w:rPr>
        <w:t xml:space="preserve"> (sete</w:t>
      </w:r>
      <w:r w:rsidR="00F7412D" w:rsidRPr="00B454E9">
        <w:rPr>
          <w:rFonts w:ascii="Arial" w:hAnsi="Arial" w:cs="Arial"/>
          <w:b/>
          <w:lang w:val="pt-BR"/>
        </w:rPr>
        <w:t>) meses</w:t>
      </w:r>
      <w:r w:rsidRPr="00B454E9">
        <w:rPr>
          <w:rFonts w:ascii="Arial" w:hAnsi="Arial" w:cs="Arial"/>
          <w:lang w:val="pt-BR"/>
        </w:rPr>
        <w:t>, contados a partir da emissão da Ordem de Serviço, após a assinatura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apresentar antes do início dos serviços os documentos exigidos no item 7.8 deste Termo de Referência.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contrato será executado sob o regime de contratação Empreitada por Preço Unitário.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poderá aceitar, nas mesmas condições contratuais, os acréscimos ou supressões estabelecidas no art. 81, §1º da Lei Federal nº 13.303/16.</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Conforme o art.. 105, inciso X, do Regulamento Interno de Licitações, Contratos e Convênios da Cesama, toda prorrogação de prazo será justificada por escrito e previamente autorizada pela autoridade competente da CESAMA para celebrar 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b/>
        <w:t xml:space="preserve">Para assinatura do Contrato o licitante deverá comprovar a regularidade de situação perante o INSS, o FGTS e a Justiça do Trabalho, através de certidões dentro do prazo de validade.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a efetiva contratação, o licitante deverá estar quite com a CESAMA, quando sediada ou domiciliada no município de Juiz de Fora/MG. Caso tenha algum débito, o mesmo deverá ser quitado para que o contrato possa ser assinado.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A Contratada poderá utilizar a subcontratação até o limite de 30% do valor do contrato</w:t>
      </w:r>
      <w:r w:rsidRPr="00B454E9">
        <w:rPr>
          <w:rFonts w:ascii="Arial" w:hAnsi="Arial" w:cs="Arial"/>
          <w:lang w:val="pt-BR"/>
        </w:rPr>
        <w:t xml:space="preserve">. Neste caso, a subcontratação deverá seguir os mesmos parâmetros aplicados à CONTRATADA, ficando esta, responsável </w:t>
      </w:r>
      <w:proofErr w:type="gramStart"/>
      <w:r w:rsidRPr="00B454E9">
        <w:rPr>
          <w:rFonts w:ascii="Arial" w:hAnsi="Arial" w:cs="Arial"/>
          <w:lang w:val="pt-BR"/>
        </w:rPr>
        <w:t>perante a</w:t>
      </w:r>
      <w:proofErr w:type="gramEnd"/>
      <w:r w:rsidRPr="00B454E9">
        <w:rPr>
          <w:rFonts w:ascii="Arial" w:hAnsi="Arial" w:cs="Arial"/>
          <w:lang w:val="pt-BR"/>
        </w:rPr>
        <w:t xml:space="preserve"> CESAMA pela perfeita execução dos serviços contratados.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empresa subcontratada deverá atender, em relação ao objeto da subcontratação, as exigências de qualificação técnica impostas ao licitante vencedor a serem verificadas no ato da assinatura de contrato.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É vedada a subcontratação de empresa ou consórcio que tenha participado: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 xml:space="preserve">do processo licitatório do qual se originou a contratação;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 xml:space="preserve">direta ou indiretamente, da elaboração de projeto básico ou executivo.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relação que se estabelece na assinatura do Contrato é exclusivamente entre a CESAMA e a Contratada, não havendo qualquer vínculo ou relação de nenhuma espécie entre a CESAMA e a subcontratada.</w:t>
      </w:r>
    </w:p>
    <w:p w:rsidR="00C02476" w:rsidRPr="00B454E9" w:rsidRDefault="00C02476" w:rsidP="00C02476">
      <w:pPr>
        <w:pStyle w:val="PargrafodaLista"/>
        <w:spacing w:before="240" w:after="240" w:line="276" w:lineRule="auto"/>
        <w:ind w:left="0"/>
        <w:contextualSpacing w:val="0"/>
        <w:jc w:val="both"/>
        <w:rPr>
          <w:rFonts w:ascii="Arial" w:hAnsi="Arial" w:cs="Arial"/>
          <w:lang w:val="pt-BR"/>
        </w:rPr>
      </w:pPr>
    </w:p>
    <w:p w:rsidR="008F4FE3" w:rsidRPr="00B454E9" w:rsidRDefault="008F4FE3" w:rsidP="00892F6C">
      <w:pPr>
        <w:pStyle w:val="PargrafodaLista"/>
        <w:numPr>
          <w:ilvl w:val="0"/>
          <w:numId w:val="8"/>
        </w:numPr>
        <w:spacing w:before="240" w:after="240" w:line="276" w:lineRule="auto"/>
        <w:contextualSpacing w:val="0"/>
        <w:jc w:val="both"/>
        <w:rPr>
          <w:rFonts w:ascii="Arial" w:hAnsi="Arial" w:cs="Arial"/>
          <w:b/>
          <w:lang w:val="pt-BR"/>
        </w:rPr>
      </w:pPr>
      <w:r w:rsidRPr="00B454E9">
        <w:rPr>
          <w:rFonts w:ascii="Arial" w:hAnsi="Arial" w:cs="Arial"/>
          <w:b/>
          <w:lang w:val="pt-BR"/>
        </w:rPr>
        <w:t>DA INEXECUÇÃO E DA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No que se refere à inexecução e a rescisão do contrato, aplica-se o disposto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inexecução total ou parcial do contrato poderá ensejar a sua rescisão, com as consequências cabíveis.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Constituem motivo para rescisão do contrato os especificados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rescisão do contrato poderá ser: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w:t>
      </w:r>
      <w:proofErr w:type="gramStart"/>
      <w:r w:rsidRPr="008F4FE3">
        <w:rPr>
          <w:rFonts w:ascii="Arial" w:hAnsi="Arial" w:cs="Arial"/>
          <w:sz w:val="24"/>
          <w:szCs w:val="24"/>
        </w:rPr>
        <w:t>por</w:t>
      </w:r>
      <w:proofErr w:type="gramEnd"/>
      <w:r w:rsidRPr="008F4FE3">
        <w:rPr>
          <w:rFonts w:ascii="Arial" w:hAnsi="Arial" w:cs="Arial"/>
          <w:sz w:val="24"/>
          <w:szCs w:val="24"/>
        </w:rPr>
        <w:t xml:space="preserve"> ato unilateral e escrito de qualquer das partes;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w:t>
      </w:r>
      <w:proofErr w:type="gramStart"/>
      <w:r w:rsidRPr="008F4FE3">
        <w:rPr>
          <w:rFonts w:ascii="Arial" w:hAnsi="Arial" w:cs="Arial"/>
          <w:sz w:val="24"/>
          <w:szCs w:val="24"/>
        </w:rPr>
        <w:t>amigável</w:t>
      </w:r>
      <w:proofErr w:type="gramEnd"/>
      <w:r w:rsidRPr="008F4FE3">
        <w:rPr>
          <w:rFonts w:ascii="Arial" w:hAnsi="Arial" w:cs="Arial"/>
          <w:sz w:val="24"/>
          <w:szCs w:val="24"/>
        </w:rPr>
        <w:t xml:space="preserve">, por acordo entre as partes, reduzida a termo no processo de contratação, desde que haja conveniência para a Cesama;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III.  </w:t>
      </w:r>
      <w:proofErr w:type="gramStart"/>
      <w:r w:rsidRPr="008F4FE3">
        <w:rPr>
          <w:rFonts w:ascii="Arial" w:hAnsi="Arial" w:cs="Arial"/>
          <w:sz w:val="24"/>
          <w:szCs w:val="24"/>
        </w:rPr>
        <w:t>judicial</w:t>
      </w:r>
      <w:proofErr w:type="gramEnd"/>
      <w:r w:rsidRPr="008F4FE3">
        <w:rPr>
          <w:rFonts w:ascii="Arial" w:hAnsi="Arial" w:cs="Arial"/>
          <w:sz w:val="24"/>
          <w:szCs w:val="24"/>
        </w:rPr>
        <w:t xml:space="preserve">, nos termos da legislação.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rescisão por ato unilateral a que se refere o inciso I do item acima</w:t>
      </w:r>
      <w:proofErr w:type="gramStart"/>
      <w:r w:rsidRPr="00B454E9">
        <w:rPr>
          <w:rFonts w:ascii="Arial" w:hAnsi="Arial" w:cs="Arial"/>
          <w:lang w:val="pt-BR"/>
        </w:rPr>
        <w:t>, deverá</w:t>
      </w:r>
      <w:proofErr w:type="gramEnd"/>
      <w:r w:rsidRPr="00B454E9">
        <w:rPr>
          <w:rFonts w:ascii="Arial" w:hAnsi="Arial" w:cs="Arial"/>
          <w:lang w:val="pt-BR"/>
        </w:rPr>
        <w:t xml:space="preserve"> ser precedida de comunicação escrita e fundamentada da parte interessada e ser enviada a outra parte com antecedência mínima de 30 (trinta)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Na hipótese de imprescindibilidade da execução contratual para a continuidade de serviços públicos essenciais, o prazo a que se refere o item 13.5 será de 90 (noventa)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Quando a rescisão ocorrer sem que haja culpa da outra parte contratante, será esta ressarcida dos prejuízos que houver </w:t>
      </w:r>
      <w:proofErr w:type="gramStart"/>
      <w:r w:rsidRPr="00B454E9">
        <w:rPr>
          <w:rFonts w:ascii="Arial" w:hAnsi="Arial" w:cs="Arial"/>
          <w:lang w:val="pt-BR"/>
        </w:rPr>
        <w:t>sofrido,</w:t>
      </w:r>
      <w:proofErr w:type="gramEnd"/>
      <w:r w:rsidRPr="00B454E9">
        <w:rPr>
          <w:rFonts w:ascii="Arial" w:hAnsi="Arial" w:cs="Arial"/>
          <w:lang w:val="pt-BR"/>
        </w:rPr>
        <w:t xml:space="preserve"> regularmente comprovados, e no caso da Contratada poderá ter ainda direito 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w:t>
      </w:r>
      <w:proofErr w:type="gramStart"/>
      <w:r w:rsidRPr="008F4FE3">
        <w:rPr>
          <w:rFonts w:ascii="Arial" w:hAnsi="Arial" w:cs="Arial"/>
          <w:sz w:val="24"/>
          <w:szCs w:val="24"/>
        </w:rPr>
        <w:t>devolução</w:t>
      </w:r>
      <w:proofErr w:type="gramEnd"/>
      <w:r w:rsidRPr="008F4FE3">
        <w:rPr>
          <w:rFonts w:ascii="Arial" w:hAnsi="Arial" w:cs="Arial"/>
          <w:sz w:val="24"/>
          <w:szCs w:val="24"/>
        </w:rPr>
        <w:t xml:space="preserve"> da garantia;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w:t>
      </w:r>
      <w:proofErr w:type="gramStart"/>
      <w:r w:rsidRPr="008F4FE3">
        <w:rPr>
          <w:rFonts w:ascii="Arial" w:hAnsi="Arial" w:cs="Arial"/>
          <w:sz w:val="24"/>
          <w:szCs w:val="24"/>
        </w:rPr>
        <w:t>pagamentos</w:t>
      </w:r>
      <w:proofErr w:type="gramEnd"/>
      <w:r w:rsidRPr="008F4FE3">
        <w:rPr>
          <w:rFonts w:ascii="Arial" w:hAnsi="Arial" w:cs="Arial"/>
          <w:sz w:val="24"/>
          <w:szCs w:val="24"/>
        </w:rPr>
        <w:t xml:space="preserve"> devidos pela execução do contrato até a data da rescisão; </w:t>
      </w:r>
    </w:p>
    <w:p w:rsidR="00B1433D"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III. </w:t>
      </w:r>
      <w:proofErr w:type="gramStart"/>
      <w:r w:rsidRPr="008F4FE3">
        <w:rPr>
          <w:rFonts w:ascii="Arial" w:hAnsi="Arial" w:cs="Arial"/>
          <w:sz w:val="24"/>
          <w:szCs w:val="24"/>
        </w:rPr>
        <w:t>pagamento</w:t>
      </w:r>
      <w:proofErr w:type="gramEnd"/>
      <w:r w:rsidRPr="008F4FE3">
        <w:rPr>
          <w:rFonts w:ascii="Arial" w:hAnsi="Arial" w:cs="Arial"/>
          <w:sz w:val="24"/>
          <w:szCs w:val="24"/>
        </w:rPr>
        <w:t xml:space="preserve"> do custo da desmobilização.</w:t>
      </w:r>
    </w:p>
    <w:p w:rsidR="00812070" w:rsidRDefault="00812070" w:rsidP="00892F6C">
      <w:pPr>
        <w:spacing w:before="240" w:line="276" w:lineRule="auto"/>
        <w:jc w:val="both"/>
        <w:rPr>
          <w:rFonts w:ascii="Arial" w:hAnsi="Arial" w:cs="Arial"/>
          <w:sz w:val="24"/>
          <w:szCs w:val="24"/>
        </w:rPr>
      </w:pPr>
    </w:p>
    <w:p w:rsidR="00812070" w:rsidRPr="008F4FE3" w:rsidRDefault="00812070" w:rsidP="00892F6C">
      <w:pPr>
        <w:spacing w:before="240" w:line="276" w:lineRule="auto"/>
        <w:jc w:val="both"/>
        <w:rPr>
          <w:rFonts w:ascii="Arial" w:hAnsi="Arial" w:cs="Arial"/>
          <w:sz w:val="24"/>
          <w:szCs w:val="24"/>
        </w:rPr>
      </w:pPr>
    </w:p>
    <w:p w:rsidR="00B1433D" w:rsidRPr="00B1433D" w:rsidRDefault="008F4FE3" w:rsidP="00B1433D">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GARANTIA CONTRATUAL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assegurar a plena execução do objeto contratual será exigidaa garantia contratual de 5% (cinco por cento) do valor do contrato e terá seu valor atualizado nas mesmas condições nele estabelecidas.</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MAPA DE RISCO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artigo 101 do RILC define como obrigatória a matriz de risco apenas para </w:t>
      </w:r>
      <w:proofErr w:type="gramStart"/>
      <w:r w:rsidRPr="00B454E9">
        <w:rPr>
          <w:rFonts w:ascii="Arial" w:hAnsi="Arial" w:cs="Arial"/>
          <w:lang w:val="pt-BR"/>
        </w:rPr>
        <w:t>contratações integrada e semi-integrada, sendo facultativa para os demais regimes</w:t>
      </w:r>
      <w:proofErr w:type="gramEnd"/>
      <w:r w:rsidRPr="00B454E9">
        <w:rPr>
          <w:rFonts w:ascii="Arial" w:hAnsi="Arial" w:cs="Arial"/>
          <w:lang w:val="pt-BR"/>
        </w:rPr>
        <w:t xml:space="preserve">. Considerando a natureza do objeto deste certame, bem como o regime de contratação por </w:t>
      </w:r>
      <w:r w:rsidRPr="00B454E9">
        <w:rPr>
          <w:rFonts w:ascii="Arial" w:hAnsi="Arial" w:cs="Arial"/>
          <w:b/>
          <w:lang w:val="pt-BR"/>
        </w:rPr>
        <w:t>EMPREITADA POR PREÇO UNITÁRIO</w:t>
      </w:r>
      <w:r w:rsidRPr="00B454E9">
        <w:rPr>
          <w:rFonts w:ascii="Arial" w:hAnsi="Arial" w:cs="Arial"/>
          <w:lang w:val="pt-BR"/>
        </w:rPr>
        <w:t>, ficam reduzidas as surpresas na contratação, e consequentemente os riscos oriundos da mesma, sendo o mapeamento de riscos apresentado no Anexo I deste Termo de Referência suficiente e pertinente a pretensa contratação.</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 xml:space="preserve">SEGURO DE RISCO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Para emissão da Ordem de Serviço, após a assinatura do Contrato, a CONTRATADA deverá apresentar, no prazo de </w:t>
      </w:r>
      <w:proofErr w:type="gramStart"/>
      <w:r w:rsidRPr="00B454E9">
        <w:rPr>
          <w:rFonts w:ascii="Arial" w:hAnsi="Arial" w:cs="Arial"/>
          <w:lang w:val="pt-BR"/>
        </w:rPr>
        <w:t>5</w:t>
      </w:r>
      <w:proofErr w:type="gramEnd"/>
      <w:r w:rsidRPr="00B454E9">
        <w:rPr>
          <w:rFonts w:ascii="Arial" w:hAnsi="Arial" w:cs="Arial"/>
          <w:lang w:val="pt-BR"/>
        </w:rPr>
        <w:t xml:space="preserve"> (cinco) dias úteis, Apólice de Seguro de Riscos emitida em favor da CESAMA (beneficiária). Os custos da Apólice de Seguro estão contemplados no Mapa de Risco e tem seu custo previsto na planilha de cálculo do BDI. Tal seguro tem por objetivo garantir à CESAMA o pagamento de indenização por prejuízos, devidamente comprovados, decorrentes de perdas e/ou danos causados aos bens segurados, ocorridos no local segurado, em consequência de risco coberto.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As Especificações técnicas de cobertura do seguro estão no Anexo I, deste Termo de Referência.</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RECEBIMENTO DO OBJETO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Executado o Contrato ou as etapas do mesmo, o seu objeto deverá ser recebido:</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a</w:t>
      </w:r>
      <w:proofErr w:type="gramEnd"/>
      <w:r w:rsidRPr="008F4FE3">
        <w:rPr>
          <w:rFonts w:ascii="Arial" w:hAnsi="Arial" w:cs="Arial"/>
          <w:sz w:val="24"/>
          <w:szCs w:val="24"/>
        </w:rPr>
        <w:t>)</w:t>
      </w:r>
      <w:r w:rsidRPr="008F4FE3">
        <w:rPr>
          <w:rFonts w:ascii="Arial" w:hAnsi="Arial" w:cs="Arial"/>
          <w:sz w:val="24"/>
          <w:szCs w:val="24"/>
        </w:rPr>
        <w:tab/>
        <w:t>provisoriamente, pelo fiscal responsável por seu acompanhamento e fiscalização, mediante termo circunstanciado, assinado pelas partes em até 15 (quinze) dias da comunicação escrita da CONTRATADA; ou</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 </w:t>
      </w:r>
      <w:proofErr w:type="gramStart"/>
      <w:r w:rsidRPr="008F4FE3">
        <w:rPr>
          <w:rFonts w:ascii="Arial" w:hAnsi="Arial" w:cs="Arial"/>
          <w:sz w:val="24"/>
          <w:szCs w:val="24"/>
        </w:rPr>
        <w:t>b)</w:t>
      </w:r>
      <w:proofErr w:type="gramEnd"/>
      <w:r w:rsidRPr="008F4FE3">
        <w:rPr>
          <w:rFonts w:ascii="Arial" w:hAnsi="Arial" w:cs="Arial"/>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c) parcialmente, relativo a etapas ou parcelas do objeto, definidas no contrato ou nos documentos que lhe integram, representando aceitação da execução da etapa ou parcela.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recebimento provisório ou definitivo não exclui a responsabilidade civil, principalmente quanto à solidez e segurança da do serviço, nem ético profissional pela perfeita execução nos limites estabelecidos pelo Código Civil Brasileiro e pelo Contrato.</w:t>
      </w:r>
    </w:p>
    <w:p w:rsidR="008F4FE3" w:rsidRPr="00101884"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101884">
        <w:rPr>
          <w:rFonts w:ascii="Arial" w:hAnsi="Arial" w:cs="Arial"/>
          <w:b/>
        </w:rPr>
        <w:t>EXIGÊNCIAS PARA PROPOSTA/HABILITAÇÃO</w:t>
      </w:r>
    </w:p>
    <w:p w:rsidR="008F4FE3" w:rsidRPr="00101884"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101884">
        <w:rPr>
          <w:rFonts w:ascii="Arial" w:hAnsi="Arial" w:cs="Arial"/>
          <w:b/>
        </w:rPr>
        <w:t>Qualificação</w:t>
      </w:r>
      <w:proofErr w:type="spellEnd"/>
      <w:r w:rsidRPr="00101884">
        <w:rPr>
          <w:rFonts w:ascii="Arial" w:hAnsi="Arial" w:cs="Arial"/>
          <w:b/>
        </w:rPr>
        <w:t xml:space="preserve"> </w:t>
      </w:r>
      <w:proofErr w:type="spellStart"/>
      <w:r w:rsidRPr="00101884">
        <w:rPr>
          <w:rFonts w:ascii="Arial" w:hAnsi="Arial" w:cs="Arial"/>
          <w:b/>
        </w:rPr>
        <w:t>Técnica</w:t>
      </w:r>
      <w:proofErr w:type="spellEnd"/>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Os documentos referentes à Habilitação Jurídica, Regularidade Fiscal e Regularidade Trabalhista conforme padrão CESAMA.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Certidão de registro da empresa licitante e do seu responsável técnico no CREA (Conselho Regional de Engenharia e Agronomia) do Estado de origem com suas devidas </w:t>
      </w:r>
      <w:proofErr w:type="gramStart"/>
      <w:r w:rsidRPr="00B454E9">
        <w:rPr>
          <w:rFonts w:ascii="Arial" w:hAnsi="Arial" w:cs="Arial"/>
          <w:lang w:val="pt-BR"/>
        </w:rPr>
        <w:t>provas</w:t>
      </w:r>
      <w:proofErr w:type="gramEnd"/>
      <w:r w:rsidRPr="00B454E9">
        <w:rPr>
          <w:rFonts w:ascii="Arial" w:hAnsi="Arial" w:cs="Arial"/>
          <w:lang w:val="pt-BR"/>
        </w:rPr>
        <w:t xml:space="preserve"> de regularidade. O visto do CREA/MG será solicitado ao vencedor da licitação.</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Comprovação de aptidão para desempenho da empresa (atestado técnico operacional) 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 atestado técnico operacional deve comprovar que o licitante </w:t>
      </w:r>
      <w:r w:rsidRPr="00B454E9">
        <w:rPr>
          <w:rFonts w:ascii="Arial" w:hAnsi="Arial" w:cs="Arial"/>
          <w:b/>
          <w:lang w:val="pt-BR"/>
        </w:rPr>
        <w:t>forneceu e executou escoramento especial, tipo blindagem de vala, com profundidade mínima de 3,0m, em quantidade de no mínimo 6.738,99m²</w:t>
      </w:r>
      <w:r w:rsidRPr="00B454E9">
        <w:rPr>
          <w:rFonts w:ascii="Arial" w:hAnsi="Arial" w:cs="Arial"/>
          <w:lang w:val="pt-BR"/>
        </w:rPr>
        <w:t xml:space="preserve">, correspondente a 50% da quantidade total deste item, além de </w:t>
      </w:r>
      <w:r w:rsidRPr="00B454E9">
        <w:rPr>
          <w:rFonts w:ascii="Arial" w:hAnsi="Arial" w:cs="Arial"/>
          <w:b/>
          <w:lang w:val="pt-BR"/>
        </w:rPr>
        <w:t xml:space="preserve">execução de rede coletora de esgoto com diâmetro mínimo de </w:t>
      </w:r>
      <w:proofErr w:type="gramStart"/>
      <w:r w:rsidRPr="00B454E9">
        <w:rPr>
          <w:rFonts w:ascii="Arial" w:hAnsi="Arial" w:cs="Arial"/>
          <w:b/>
          <w:lang w:val="pt-BR"/>
        </w:rPr>
        <w:t>200mm</w:t>
      </w:r>
      <w:proofErr w:type="gramEnd"/>
      <w:r w:rsidRPr="00B454E9">
        <w:rPr>
          <w:rFonts w:ascii="Arial" w:hAnsi="Arial" w:cs="Arial"/>
          <w:b/>
          <w:lang w:val="pt-BR"/>
        </w:rPr>
        <w:t xml:space="preserve"> e extensão mínima de 845,00 metros</w:t>
      </w:r>
      <w:r w:rsidRPr="00B454E9">
        <w:rPr>
          <w:rFonts w:ascii="Arial" w:hAnsi="Arial" w:cs="Arial"/>
          <w:lang w:val="pt-BR"/>
        </w:rPr>
        <w:t xml:space="preserve">, valor correspondente a 50% da extensão total dos interceptores de esgoto IP02/03 Independência e Mariano Procópio. Estas parcelas são </w:t>
      </w:r>
      <w:proofErr w:type="gramStart"/>
      <w:r w:rsidRPr="00B454E9">
        <w:rPr>
          <w:rFonts w:ascii="Arial" w:hAnsi="Arial" w:cs="Arial"/>
          <w:lang w:val="pt-BR"/>
        </w:rPr>
        <w:t>de maior</w:t>
      </w:r>
      <w:proofErr w:type="gramEnd"/>
      <w:r w:rsidRPr="00B454E9">
        <w:rPr>
          <w:rFonts w:ascii="Arial" w:hAnsi="Arial" w:cs="Arial"/>
          <w:lang w:val="pt-BR"/>
        </w:rPr>
        <w:t xml:space="preserve"> relevância e valor significativo deste certame.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A solicitação de duas atestações técnicas se justifica pela relevância dos itens escoramento especial, tipo blindagem de vala, e rede coletora de esgoto que correspondem, respectivamente, a </w:t>
      </w:r>
      <w:proofErr w:type="gramStart"/>
      <w:r w:rsidRPr="00B454E9">
        <w:rPr>
          <w:rFonts w:ascii="Arial" w:hAnsi="Arial" w:cs="Arial"/>
          <w:lang w:val="pt-BR"/>
        </w:rPr>
        <w:t xml:space="preserve">22,6% e </w:t>
      </w:r>
      <w:r w:rsidR="0000168C" w:rsidRPr="00B454E9">
        <w:rPr>
          <w:rFonts w:ascii="Arial" w:hAnsi="Arial" w:cs="Arial"/>
          <w:lang w:val="pt-BR"/>
        </w:rPr>
        <w:t>11,20</w:t>
      </w:r>
      <w:r w:rsidRPr="00B454E9">
        <w:rPr>
          <w:rFonts w:ascii="Arial" w:hAnsi="Arial" w:cs="Arial"/>
          <w:lang w:val="pt-BR"/>
        </w:rPr>
        <w:t>% do valor deste certame</w:t>
      </w:r>
      <w:proofErr w:type="gramEnd"/>
      <w:r w:rsidRPr="00B454E9">
        <w:rPr>
          <w:rFonts w:ascii="Arial" w:hAnsi="Arial" w:cs="Arial"/>
          <w:lang w:val="pt-BR"/>
        </w:rPr>
        <w:t>. Deste modo, a atestação solicitada é a mais adequada, objetiva e atende as premissas de relevância técnica e financeira deste certame, sem prejuízo da competitividade.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 atestado técnico profissional deve comprovar que o responsável técnico executou </w:t>
      </w:r>
      <w:r w:rsidRPr="00B454E9">
        <w:rPr>
          <w:rFonts w:ascii="Arial" w:hAnsi="Arial" w:cs="Arial"/>
          <w:b/>
          <w:lang w:val="pt-BR"/>
        </w:rPr>
        <w:t>escoramento especial, tipo blindagem de vala e rede coletora de esgoto.</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A exigência da atestação técnico operacional e técnico profissional justifica-se pela complexidade e porte do objeto deste certame,</w:t>
      </w:r>
      <w:proofErr w:type="gramStart"/>
      <w:r w:rsidRPr="00B454E9">
        <w:rPr>
          <w:rFonts w:ascii="Arial" w:hAnsi="Arial" w:cs="Arial"/>
          <w:lang w:val="pt-BR"/>
        </w:rPr>
        <w:t xml:space="preserve">  </w:t>
      </w:r>
      <w:proofErr w:type="gramEnd"/>
      <w:r w:rsidRPr="00B454E9">
        <w:rPr>
          <w:rFonts w:ascii="Arial" w:hAnsi="Arial" w:cs="Arial"/>
          <w:lang w:val="pt-BR"/>
        </w:rPr>
        <w:t>apresentado no Anexo I - Especificação Técnica, garantindo para a CESAMA a certeza de contratação de uma empresa experiente que possa executar a obra dentro dos padrões estabelecidos em projeto e normas técnicas.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De modo a evitar decisões subjetivas na análise técnica deste certame, não serão aceitos atestados de viabilidade de obras de outras modalidade</w:t>
      </w:r>
      <w:r w:rsidR="00374BB9" w:rsidRPr="00B454E9">
        <w:rPr>
          <w:rFonts w:ascii="Arial" w:hAnsi="Arial" w:cs="Arial"/>
          <w:lang w:val="pt-BR"/>
        </w:rPr>
        <w:t>s de saneamento,</w:t>
      </w:r>
      <w:proofErr w:type="gramStart"/>
      <w:r w:rsidR="00374BB9" w:rsidRPr="00B454E9">
        <w:rPr>
          <w:rFonts w:ascii="Arial" w:hAnsi="Arial" w:cs="Arial"/>
          <w:lang w:val="pt-BR"/>
        </w:rPr>
        <w:t xml:space="preserve">  </w:t>
      </w:r>
      <w:proofErr w:type="gramEnd"/>
      <w:r w:rsidR="00374BB9" w:rsidRPr="00B454E9">
        <w:rPr>
          <w:rFonts w:ascii="Arial" w:hAnsi="Arial" w:cs="Arial"/>
          <w:lang w:val="pt-BR"/>
        </w:rPr>
        <w:t>como drenagem</w:t>
      </w:r>
      <w:r w:rsidRPr="00B454E9">
        <w:rPr>
          <w:rFonts w:ascii="Arial" w:hAnsi="Arial" w:cs="Arial"/>
          <w:lang w:val="pt-BR"/>
        </w:rPr>
        <w:t>, abast</w:t>
      </w:r>
      <w:r w:rsidR="00374BB9" w:rsidRPr="00B454E9">
        <w:rPr>
          <w:rFonts w:ascii="Arial" w:hAnsi="Arial" w:cs="Arial"/>
          <w:lang w:val="pt-BR"/>
        </w:rPr>
        <w:t>ecimento de água, dentre outros.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Não serão aceitos atestados de redes coletoras de esgoto implantadas em novos loteamentos, visto que a obra em questão será</w:t>
      </w:r>
      <w:proofErr w:type="gramStart"/>
      <w:r w:rsidRPr="00B454E9">
        <w:rPr>
          <w:rFonts w:ascii="Arial" w:hAnsi="Arial" w:cs="Arial"/>
          <w:lang w:val="pt-BR"/>
        </w:rPr>
        <w:t xml:space="preserve">  </w:t>
      </w:r>
      <w:proofErr w:type="gramEnd"/>
      <w:r w:rsidRPr="00B454E9">
        <w:rPr>
          <w:rFonts w:ascii="Arial" w:hAnsi="Arial" w:cs="Arial"/>
          <w:lang w:val="pt-BR"/>
        </w:rPr>
        <w:t>executada em uma área consolidada, com trânsito significativo e volume considerável de interferências, necessitando de uma empresa com expertise nesse tipo de serviço.</w:t>
      </w:r>
    </w:p>
    <w:p w:rsidR="008F4FE3" w:rsidRPr="003E02C6"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3E02C6">
        <w:rPr>
          <w:rFonts w:ascii="Arial" w:hAnsi="Arial" w:cs="Arial"/>
          <w:b/>
        </w:rPr>
        <w:t>Qualificação</w:t>
      </w:r>
      <w:proofErr w:type="spellEnd"/>
      <w:r w:rsidRPr="003E02C6">
        <w:rPr>
          <w:rFonts w:ascii="Arial" w:hAnsi="Arial" w:cs="Arial"/>
          <w:b/>
        </w:rPr>
        <w:t xml:space="preserve"> </w:t>
      </w:r>
      <w:proofErr w:type="spellStart"/>
      <w:r w:rsidRPr="003E02C6">
        <w:rPr>
          <w:rFonts w:ascii="Arial" w:hAnsi="Arial" w:cs="Arial"/>
          <w:b/>
        </w:rPr>
        <w:t>Econômica-Financeira</w:t>
      </w:r>
      <w:proofErr w:type="spellEnd"/>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Certidão negativa de feitos sobre falência, recuperação judicial ou recuperação extrajudicial, expedida pelo distribuidor da sede do licitante;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Balanço Patrimonial e Demonstrações contábeis do último exercício social, sendo considerados aceitos na forma da lei, se apresentados através de:</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proofErr w:type="gramStart"/>
      <w:r w:rsidR="008F4FE3" w:rsidRPr="008F4FE3">
        <w:rPr>
          <w:rFonts w:ascii="Arial" w:hAnsi="Arial" w:cs="Arial"/>
          <w:sz w:val="24"/>
          <w:szCs w:val="24"/>
        </w:rPr>
        <w:t>Fotocópias das Demonstrações Contábeis extraídas do Livro Diário com a devida numeração de página ou publicados em Diário Oficial ou jornal de grande circulação</w:t>
      </w:r>
      <w:proofErr w:type="gramEnd"/>
      <w:r w:rsidR="008F4FE3" w:rsidRPr="008F4FE3">
        <w:rPr>
          <w:rFonts w:ascii="Arial" w:hAnsi="Arial" w:cs="Arial"/>
          <w:sz w:val="24"/>
          <w:szCs w:val="24"/>
        </w:rPr>
        <w:t>.</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Prova de registro na Junta Comercial, em Cartório ou no SPED contábil.</w:t>
      </w:r>
    </w:p>
    <w:p w:rsidR="008F4FE3" w:rsidRPr="008F4FE3" w:rsidRDefault="003E02C6"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Assinatura do Contador e do representante legal da Entidade no Balanço Patrimonial e Demonstração do Resultado do Exercício.</w:t>
      </w:r>
    </w:p>
    <w:p w:rsidR="008F4FE3" w:rsidRPr="002F5E9E" w:rsidRDefault="008F4FE3" w:rsidP="00892F6C">
      <w:pPr>
        <w:pStyle w:val="PargrafodaLista"/>
        <w:numPr>
          <w:ilvl w:val="2"/>
          <w:numId w:val="8"/>
        </w:numPr>
        <w:spacing w:before="240" w:after="240" w:line="276" w:lineRule="auto"/>
        <w:contextualSpacing w:val="0"/>
        <w:jc w:val="both"/>
        <w:rPr>
          <w:rFonts w:ascii="Arial" w:hAnsi="Arial" w:cs="Arial"/>
          <w:color w:val="FF0000"/>
          <w:lang w:val="pt-BR"/>
        </w:rPr>
      </w:pPr>
      <w:r w:rsidRPr="00617130">
        <w:rPr>
          <w:rFonts w:ascii="Arial" w:hAnsi="Arial" w:cs="Arial"/>
          <w:lang w:val="pt-BR"/>
        </w:rPr>
        <w:t>Demonstração, na forma da Lei, de que possui patrimônio líquido</w:t>
      </w:r>
      <w:r w:rsidRPr="00B454E9">
        <w:rPr>
          <w:rFonts w:ascii="Arial" w:hAnsi="Arial" w:cs="Arial"/>
          <w:lang w:val="pt-BR"/>
        </w:rPr>
        <w:t xml:space="preserve"> mínimo de 10% do valor máximo aceitável para a contratação, ou </w:t>
      </w:r>
      <w:r w:rsidR="003D3EE3" w:rsidRPr="00B454E9">
        <w:rPr>
          <w:rFonts w:ascii="Arial" w:hAnsi="Arial" w:cs="Arial"/>
          <w:lang w:val="pt-BR"/>
        </w:rPr>
        <w:t xml:space="preserve">seja, </w:t>
      </w:r>
      <w:r w:rsidRPr="00B454E9">
        <w:rPr>
          <w:rFonts w:ascii="Arial" w:hAnsi="Arial" w:cs="Arial"/>
          <w:b/>
          <w:lang w:val="pt-BR"/>
        </w:rPr>
        <w:t>R$</w:t>
      </w:r>
      <w:r w:rsidR="003D3EE3" w:rsidRPr="00B454E9">
        <w:rPr>
          <w:rFonts w:ascii="Arial" w:hAnsi="Arial" w:cs="Arial"/>
          <w:b/>
          <w:lang w:val="pt-BR"/>
        </w:rPr>
        <w:t>571.989,49</w:t>
      </w:r>
      <w:r w:rsidRPr="00B454E9">
        <w:rPr>
          <w:rFonts w:ascii="Arial" w:hAnsi="Arial" w:cs="Arial"/>
          <w:b/>
          <w:lang w:val="pt-BR"/>
        </w:rPr>
        <w:t xml:space="preserve"> (</w:t>
      </w:r>
      <w:r w:rsidR="003D3EE3" w:rsidRPr="00B454E9">
        <w:rPr>
          <w:rFonts w:ascii="Arial" w:hAnsi="Arial" w:cs="Arial"/>
          <w:b/>
          <w:lang w:val="pt-BR"/>
        </w:rPr>
        <w:t xml:space="preserve">quinhentos e setenta e um mil novecentos e oitenta e nove reais e quarenta e nove </w:t>
      </w:r>
      <w:r w:rsidR="003D3EE3" w:rsidRPr="00617130">
        <w:rPr>
          <w:rFonts w:ascii="Arial" w:hAnsi="Arial" w:cs="Arial"/>
          <w:b/>
          <w:lang w:val="pt-BR"/>
        </w:rPr>
        <w:t>centavos</w:t>
      </w:r>
      <w:r w:rsidRPr="00617130">
        <w:rPr>
          <w:rFonts w:ascii="Arial" w:hAnsi="Arial" w:cs="Arial"/>
          <w:b/>
          <w:lang w:val="pt-BR"/>
        </w:rPr>
        <w:t>)</w:t>
      </w:r>
      <w:r w:rsidRPr="00617130">
        <w:rPr>
          <w:rFonts w:ascii="Arial" w:hAnsi="Arial" w:cs="Arial"/>
          <w:lang w:val="pt-BR"/>
        </w:rPr>
        <w:t>.</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Comprovação de boa situação financeira apurada através dos índices:</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 Liquidez corrente maior ou igual 1,0 (um inteiro) calculado pela fórmula: LC = AC / PC</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LC = Liquidez Corrente, AC = Ativo Circulante e PC = Passivo Circulante.</w:t>
      </w:r>
    </w:p>
    <w:p w:rsidR="008F4FE3" w:rsidRPr="008F4FE3" w:rsidRDefault="008F4FE3" w:rsidP="00892F6C">
      <w:pPr>
        <w:spacing w:before="240" w:line="276" w:lineRule="auto"/>
        <w:jc w:val="both"/>
        <w:rPr>
          <w:rFonts w:ascii="Arial" w:hAnsi="Arial" w:cs="Arial"/>
          <w:sz w:val="24"/>
          <w:szCs w:val="24"/>
        </w:rPr>
      </w:pPr>
      <w:r w:rsidRPr="007F3EC6">
        <w:rPr>
          <w:rFonts w:ascii="Arial" w:hAnsi="Arial" w:cs="Arial"/>
          <w:sz w:val="24"/>
          <w:szCs w:val="24"/>
        </w:rPr>
        <w:t>b) Grau de endividamento menor ou igual (0,6</w:t>
      </w:r>
      <w:proofErr w:type="gramStart"/>
      <w:r w:rsidRPr="007F3EC6">
        <w:rPr>
          <w:rFonts w:ascii="Arial" w:hAnsi="Arial" w:cs="Arial"/>
          <w:sz w:val="24"/>
          <w:szCs w:val="24"/>
        </w:rPr>
        <w:t>) ,</w:t>
      </w:r>
      <w:proofErr w:type="gramEnd"/>
      <w:r w:rsidRPr="007F3EC6">
        <w:rPr>
          <w:rFonts w:ascii="Arial" w:hAnsi="Arial" w:cs="Arial"/>
          <w:sz w:val="24"/>
          <w:szCs w:val="24"/>
        </w:rPr>
        <w:t xml:space="preserve"> calculado pela fórmula: GE = (PC + PNC) / AT</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GE=Grau de endividamento, PC=Passivo Circulante, PNC=Passivo Não Circulante; e AT=Ativo Total.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Em cumprimento ao estabelecido no art. 58, inciso III da Lei n. 13.303/16, a habilitação deverá ser apreciada a partir do parâmetro de capacidade econômica e financeira das licitantes, dentre outros. A exigência de Índice de Liquidez Corrente (ILC) e Grau de Endividamento (GE) se </w:t>
      </w:r>
      <w:proofErr w:type="gramStart"/>
      <w:r w:rsidRPr="00B454E9">
        <w:rPr>
          <w:rFonts w:ascii="Arial" w:hAnsi="Arial" w:cs="Arial"/>
          <w:lang w:val="pt-BR"/>
        </w:rPr>
        <w:t>mostra</w:t>
      </w:r>
      <w:proofErr w:type="gramEnd"/>
      <w:r w:rsidRPr="00B454E9">
        <w:rPr>
          <w:rFonts w:ascii="Arial" w:hAnsi="Arial" w:cs="Arial"/>
          <w:lang w:val="pt-BR"/>
        </w:rPr>
        <w:t xml:space="preserve"> pertinente para o específico objeto a ser contratado, pois está em conformidade com a orientação vigente da Gerência Financeira e Contábil da CESAMA, e com parâmetros adotados no setor de serviços públicos.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8F4FE3" w:rsidRPr="00EB0C19"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EB0C19">
        <w:rPr>
          <w:rFonts w:ascii="Arial" w:hAnsi="Arial" w:cs="Arial"/>
          <w:b/>
        </w:rPr>
        <w:t>DISPOSIÇÕES GERAIS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CESAMA e a Contratada poderão restabelecer o equilíbrio econômico-financeiro da contratação, nos termos do artigo 81, inciso VI, da Lei n. 13.303/16, por novo pacto </w:t>
      </w:r>
      <w:proofErr w:type="gramStart"/>
      <w:r w:rsidRPr="00B454E9">
        <w:rPr>
          <w:rFonts w:ascii="Arial" w:hAnsi="Arial" w:cs="Arial"/>
          <w:lang w:val="pt-BR"/>
        </w:rPr>
        <w:t>precedido de cálculo ou de demonstração analítica do aumento ou diminuição dos custos, obedecidos</w:t>
      </w:r>
      <w:proofErr w:type="gramEnd"/>
      <w:r w:rsidRPr="00B454E9">
        <w:rPr>
          <w:rFonts w:ascii="Arial" w:hAnsi="Arial" w:cs="Arial"/>
          <w:lang w:val="pt-BR"/>
        </w:rPr>
        <w:t xml:space="preserve"> os critérios estabelecidos em planilha de formação de preços e tendo como limite a média dos preços encontrados no mercado em geral.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Pr="00B454E9">
        <w:rPr>
          <w:rFonts w:ascii="Arial" w:hAnsi="Arial" w:cs="Arial"/>
          <w:lang w:val="pt-BR"/>
        </w:rPr>
        <w:t>noManual</w:t>
      </w:r>
      <w:proofErr w:type="gramEnd"/>
      <w:r w:rsidRPr="00B454E9">
        <w:rPr>
          <w:rFonts w:ascii="Arial" w:hAnsi="Arial" w:cs="Arial"/>
          <w:lang w:val="pt-BR"/>
        </w:rPr>
        <w:t xml:space="preserve"> de Convênios e de Gestão e Fiscalização de Contratos, do Regulamento Interno de Licitações, Contratos e Convênios da Cesama (RILC), assim como aplicar o disposto no inciso VI do artigo 29 da Lei nº 13.303/16, sem prejuízo das sanções previstas.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B454E9">
        <w:rPr>
          <w:rFonts w:ascii="Arial" w:hAnsi="Arial" w:cs="Arial"/>
          <w:lang w:val="pt-BR"/>
        </w:rPr>
        <w:t>pleno vigor</w:t>
      </w:r>
      <w:proofErr w:type="gramEnd"/>
      <w:r w:rsidRPr="00B454E9">
        <w:rPr>
          <w:rFonts w:ascii="Arial" w:hAnsi="Arial" w:cs="Arial"/>
          <w:lang w:val="pt-BR"/>
        </w:rPr>
        <w:t xml:space="preserve"> todas as condições do ajuste e podendo a CESAMA exigir o seu cumprimento a qualquer tempo.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contratação será formalizada mediante celebração de contrato, nos termos do art. 98, do RILC. </w:t>
      </w:r>
    </w:p>
    <w:p w:rsidR="008F4FE3" w:rsidRPr="00B454E9" w:rsidRDefault="008F4FE3" w:rsidP="008F4FE3">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F4FE3" w:rsidRPr="009A02F7" w:rsidRDefault="008F4FE3" w:rsidP="009A02F7">
      <w:pPr>
        <w:ind w:left="1701"/>
        <w:jc w:val="both"/>
        <w:rPr>
          <w:rFonts w:ascii="Arial" w:hAnsi="Arial" w:cs="Arial"/>
          <w:sz w:val="20"/>
          <w:szCs w:val="20"/>
        </w:rPr>
      </w:pPr>
      <w:r w:rsidRPr="009A02F7">
        <w:rPr>
          <w:rFonts w:ascii="Arial" w:hAnsi="Arial" w:cs="Arial"/>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F4FE3" w:rsidRPr="008F4FE3" w:rsidRDefault="008F4FE3" w:rsidP="008F4FE3">
      <w:pPr>
        <w:jc w:val="both"/>
        <w:rPr>
          <w:rFonts w:ascii="Arial" w:hAnsi="Arial" w:cs="Arial"/>
          <w:sz w:val="24"/>
          <w:szCs w:val="24"/>
        </w:rPr>
      </w:pPr>
    </w:p>
    <w:p w:rsidR="008F4FE3" w:rsidRPr="00AD40EF" w:rsidRDefault="00AD40EF" w:rsidP="00AD40EF">
      <w:pPr>
        <w:jc w:val="center"/>
        <w:rPr>
          <w:rFonts w:ascii="Arial" w:hAnsi="Arial" w:cs="Arial"/>
          <w:sz w:val="20"/>
          <w:szCs w:val="20"/>
        </w:rPr>
      </w:pPr>
      <w:r w:rsidRPr="00AD40EF">
        <w:rPr>
          <w:rFonts w:ascii="Arial" w:hAnsi="Arial" w:cs="Arial"/>
          <w:sz w:val="20"/>
          <w:szCs w:val="20"/>
        </w:rPr>
        <w:t>Assinado no Original</w:t>
      </w:r>
    </w:p>
    <w:p w:rsidR="008F4FE3" w:rsidRPr="008F4FE3" w:rsidRDefault="008F4FE3" w:rsidP="008F4FE3">
      <w:pPr>
        <w:jc w:val="both"/>
        <w:rPr>
          <w:rFonts w:ascii="Arial" w:hAnsi="Arial" w:cs="Arial"/>
          <w:sz w:val="24"/>
          <w:szCs w:val="24"/>
        </w:rPr>
      </w:pPr>
    </w:p>
    <w:p w:rsidR="008F4FE3" w:rsidRPr="008F4FE3" w:rsidRDefault="008F4FE3" w:rsidP="008F4FE3">
      <w:pPr>
        <w:jc w:val="both"/>
        <w:rPr>
          <w:rFonts w:ascii="Arial" w:hAnsi="Arial" w:cs="Arial"/>
          <w:sz w:val="24"/>
          <w:szCs w:val="24"/>
        </w:rPr>
      </w:pPr>
      <w:r w:rsidRPr="008F4FE3">
        <w:rPr>
          <w:rFonts w:ascii="Arial" w:hAnsi="Arial" w:cs="Arial"/>
          <w:sz w:val="24"/>
          <w:szCs w:val="24"/>
        </w:rPr>
        <w:t xml:space="preserve">___________________________                   </w:t>
      </w:r>
      <w:r w:rsidR="00F7412D" w:rsidRPr="008F4FE3">
        <w:rPr>
          <w:rFonts w:ascii="Arial" w:hAnsi="Arial" w:cs="Arial"/>
          <w:sz w:val="24"/>
          <w:szCs w:val="24"/>
        </w:rPr>
        <w:t xml:space="preserve">___________________________  </w:t>
      </w:r>
      <w:r w:rsidRPr="008F4FE3">
        <w:rPr>
          <w:rFonts w:ascii="Arial" w:hAnsi="Arial" w:cs="Arial"/>
          <w:sz w:val="24"/>
          <w:szCs w:val="24"/>
        </w:rPr>
        <w:t xml:space="preserve">                                                            </w:t>
      </w:r>
    </w:p>
    <w:p w:rsidR="008F4FE3" w:rsidRPr="008F4FE3" w:rsidRDefault="008F4FE3" w:rsidP="008F4FE3">
      <w:pPr>
        <w:jc w:val="both"/>
        <w:rPr>
          <w:rFonts w:ascii="Arial" w:hAnsi="Arial" w:cs="Arial"/>
          <w:sz w:val="24"/>
          <w:szCs w:val="24"/>
        </w:rPr>
      </w:pPr>
      <w:r w:rsidRPr="008F4FE3">
        <w:rPr>
          <w:rFonts w:ascii="Arial" w:hAnsi="Arial" w:cs="Arial"/>
          <w:sz w:val="24"/>
          <w:szCs w:val="24"/>
        </w:rPr>
        <w:t>Ricardo S Pinto Silva</w:t>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t>Luis Eduardo do Amaral Faria</w:t>
      </w:r>
    </w:p>
    <w:p w:rsidR="008F4FE3" w:rsidRPr="008F4FE3" w:rsidRDefault="008F4FE3" w:rsidP="008F4FE3">
      <w:pPr>
        <w:jc w:val="both"/>
        <w:rPr>
          <w:rFonts w:ascii="Arial" w:hAnsi="Arial" w:cs="Arial"/>
          <w:sz w:val="24"/>
          <w:szCs w:val="24"/>
        </w:rPr>
      </w:pPr>
      <w:r w:rsidRPr="008F4FE3">
        <w:rPr>
          <w:rFonts w:ascii="Arial" w:hAnsi="Arial" w:cs="Arial"/>
          <w:sz w:val="24"/>
          <w:szCs w:val="24"/>
        </w:rPr>
        <w:t>Chefe Dpto. Projetos</w:t>
      </w:r>
      <w:r w:rsidRPr="008F4FE3">
        <w:rPr>
          <w:rFonts w:ascii="Arial" w:hAnsi="Arial" w:cs="Arial"/>
          <w:sz w:val="24"/>
          <w:szCs w:val="24"/>
        </w:rPr>
        <w:tab/>
      </w:r>
      <w:r w:rsidRPr="008F4FE3">
        <w:rPr>
          <w:rFonts w:ascii="Arial" w:hAnsi="Arial" w:cs="Arial"/>
          <w:sz w:val="24"/>
          <w:szCs w:val="24"/>
        </w:rPr>
        <w:tab/>
        <w:t xml:space="preserve"> </w:t>
      </w:r>
      <w:r w:rsidRPr="008F4FE3">
        <w:rPr>
          <w:rFonts w:ascii="Arial" w:hAnsi="Arial" w:cs="Arial"/>
          <w:sz w:val="24"/>
          <w:szCs w:val="24"/>
        </w:rPr>
        <w:tab/>
      </w:r>
      <w:r w:rsidRPr="008F4FE3">
        <w:rPr>
          <w:rFonts w:ascii="Arial" w:hAnsi="Arial" w:cs="Arial"/>
          <w:sz w:val="24"/>
          <w:szCs w:val="24"/>
        </w:rPr>
        <w:tab/>
        <w:t>Gerente Técnico</w:t>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r w:rsidRPr="008F4FE3">
        <w:rPr>
          <w:rFonts w:ascii="Arial" w:hAnsi="Arial" w:cs="Arial"/>
          <w:sz w:val="24"/>
          <w:szCs w:val="24"/>
        </w:rPr>
        <w:tab/>
      </w:r>
    </w:p>
    <w:p w:rsidR="008F4FE3" w:rsidRPr="008F4FE3" w:rsidRDefault="008F4FE3" w:rsidP="008F4FE3">
      <w:pPr>
        <w:jc w:val="both"/>
        <w:rPr>
          <w:rFonts w:ascii="Arial" w:hAnsi="Arial" w:cs="Arial"/>
          <w:sz w:val="24"/>
          <w:szCs w:val="24"/>
        </w:rPr>
      </w:pPr>
    </w:p>
    <w:p w:rsidR="008F4FE3" w:rsidRPr="008F4FE3" w:rsidRDefault="008F4FE3" w:rsidP="00F7412D">
      <w:pPr>
        <w:jc w:val="center"/>
        <w:rPr>
          <w:rFonts w:ascii="Arial" w:hAnsi="Arial" w:cs="Arial"/>
          <w:sz w:val="24"/>
          <w:szCs w:val="24"/>
        </w:rPr>
      </w:pPr>
      <w:r w:rsidRPr="008F4FE3">
        <w:rPr>
          <w:rFonts w:ascii="Arial" w:hAnsi="Arial" w:cs="Arial"/>
          <w:sz w:val="24"/>
          <w:szCs w:val="24"/>
        </w:rPr>
        <w:t>Autorizado/Aprovado por:</w:t>
      </w:r>
    </w:p>
    <w:p w:rsidR="008F4FE3" w:rsidRDefault="008F4FE3" w:rsidP="00F7412D">
      <w:pPr>
        <w:jc w:val="center"/>
        <w:rPr>
          <w:rFonts w:ascii="Arial" w:hAnsi="Arial" w:cs="Arial"/>
          <w:sz w:val="24"/>
          <w:szCs w:val="24"/>
        </w:rPr>
      </w:pPr>
    </w:p>
    <w:p w:rsidR="00F7412D" w:rsidRPr="008F4FE3" w:rsidRDefault="00F7412D" w:rsidP="00F7412D">
      <w:pPr>
        <w:jc w:val="center"/>
        <w:rPr>
          <w:rFonts w:ascii="Arial" w:hAnsi="Arial" w:cs="Arial"/>
          <w:sz w:val="24"/>
          <w:szCs w:val="24"/>
        </w:rPr>
      </w:pPr>
    </w:p>
    <w:p w:rsidR="008F4FE3" w:rsidRPr="008F4FE3" w:rsidRDefault="008F4FE3" w:rsidP="00F7412D">
      <w:pPr>
        <w:jc w:val="center"/>
        <w:rPr>
          <w:rFonts w:ascii="Arial" w:hAnsi="Arial" w:cs="Arial"/>
          <w:sz w:val="24"/>
          <w:szCs w:val="24"/>
        </w:rPr>
      </w:pPr>
      <w:r w:rsidRPr="008F4FE3">
        <w:rPr>
          <w:rFonts w:ascii="Arial" w:hAnsi="Arial" w:cs="Arial"/>
          <w:sz w:val="24"/>
          <w:szCs w:val="24"/>
        </w:rPr>
        <w:t>______________________</w:t>
      </w:r>
    </w:p>
    <w:p w:rsidR="008F4FE3" w:rsidRPr="008F4FE3" w:rsidRDefault="008F4FE3" w:rsidP="00F7412D">
      <w:pPr>
        <w:jc w:val="center"/>
        <w:rPr>
          <w:rFonts w:ascii="Arial" w:hAnsi="Arial" w:cs="Arial"/>
          <w:sz w:val="24"/>
          <w:szCs w:val="24"/>
        </w:rPr>
      </w:pPr>
      <w:r w:rsidRPr="008F4FE3">
        <w:rPr>
          <w:rFonts w:ascii="Arial" w:hAnsi="Arial" w:cs="Arial"/>
          <w:sz w:val="24"/>
          <w:szCs w:val="24"/>
        </w:rPr>
        <w:t>Marcelo Mello do Amaral</w:t>
      </w:r>
    </w:p>
    <w:p w:rsidR="0094367C" w:rsidRPr="008F4FE3" w:rsidRDefault="008F4FE3" w:rsidP="00F7412D">
      <w:pPr>
        <w:jc w:val="center"/>
        <w:rPr>
          <w:rFonts w:ascii="Arial" w:hAnsi="Arial" w:cs="Arial"/>
          <w:sz w:val="24"/>
          <w:szCs w:val="24"/>
        </w:rPr>
      </w:pPr>
      <w:r w:rsidRPr="008F4FE3">
        <w:rPr>
          <w:rFonts w:ascii="Arial" w:hAnsi="Arial" w:cs="Arial"/>
          <w:sz w:val="24"/>
          <w:szCs w:val="24"/>
        </w:rPr>
        <w:t>Diretor de Desenvolvimento e Expansão</w:t>
      </w:r>
    </w:p>
    <w:sectPr w:rsidR="0094367C" w:rsidRPr="008F4FE3" w:rsidSect="00CE3003">
      <w:headerReference w:type="default" r:id="rId7"/>
      <w:footerReference w:type="even" r:id="rId8"/>
      <w:footerReference w:type="default" r:id="rId9"/>
      <w:pgSz w:w="11906" w:h="16838"/>
      <w:pgMar w:top="1417" w:right="1701" w:bottom="1417" w:left="1701" w:header="45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086" w:rsidRDefault="000F3086" w:rsidP="00912249">
      <w:pPr>
        <w:spacing w:after="0" w:line="240" w:lineRule="auto"/>
      </w:pPr>
      <w:r>
        <w:separator/>
      </w:r>
    </w:p>
  </w:endnote>
  <w:endnote w:type="continuationSeparator" w:id="1">
    <w:p w:rsidR="000F3086" w:rsidRDefault="000F308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86" w:rsidRDefault="000F308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86" w:rsidRPr="00262B4E" w:rsidRDefault="000F3086" w:rsidP="00D7507E">
    <w:pPr>
      <w:pStyle w:val="Rodap"/>
      <w:tabs>
        <w:tab w:val="clear" w:pos="8504"/>
        <w:tab w:val="right" w:pos="8505"/>
      </w:tabs>
      <w:ind w:right="-1"/>
      <w:jc w:val="center"/>
      <w:rPr>
        <w:rFonts w:ascii="Arial" w:hAnsi="Arial" w:cs="Arial"/>
        <w:b/>
        <w:color w:val="AEAAAA"/>
        <w:sz w:val="16"/>
        <w:szCs w:val="16"/>
      </w:rPr>
    </w:pPr>
    <w:bookmarkStart w:id="0" w:name="_GoBack"/>
    <w:r w:rsidRPr="00262B4E">
      <w:rPr>
        <w:rFonts w:ascii="Arial" w:hAnsi="Arial" w:cs="Arial"/>
        <w:b/>
        <w:color w:val="AEAAAA"/>
        <w:sz w:val="16"/>
        <w:szCs w:val="16"/>
      </w:rPr>
      <w:t>Companhia de Saneamento Municipal – Cesama</w:t>
    </w:r>
  </w:p>
  <w:p w:rsidR="000F3086" w:rsidRPr="00262B4E" w:rsidRDefault="000F308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F3086" w:rsidRPr="00262B4E" w:rsidRDefault="000F308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F3086" w:rsidRPr="00262B4E" w:rsidRDefault="000F3086" w:rsidP="00D7507E">
    <w:pPr>
      <w:pStyle w:val="Rodap"/>
      <w:tabs>
        <w:tab w:val="clear" w:pos="8504"/>
        <w:tab w:val="right" w:pos="8505"/>
      </w:tabs>
      <w:ind w:right="-1"/>
      <w:jc w:val="center"/>
      <w:rPr>
        <w:rFonts w:ascii="Arial" w:hAnsi="Arial" w:cs="Arial"/>
        <w:color w:val="AEAAAA"/>
        <w:sz w:val="16"/>
        <w:szCs w:val="16"/>
      </w:rPr>
    </w:pPr>
  </w:p>
  <w:p w:rsidR="000F3086" w:rsidRPr="00262B4E" w:rsidRDefault="000F308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086" w:rsidRDefault="000F3086" w:rsidP="00912249">
      <w:pPr>
        <w:spacing w:after="0" w:line="240" w:lineRule="auto"/>
      </w:pPr>
      <w:r>
        <w:separator/>
      </w:r>
    </w:p>
  </w:footnote>
  <w:footnote w:type="continuationSeparator" w:id="1">
    <w:p w:rsidR="000F3086" w:rsidRDefault="000F308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086" w:rsidRPr="00262B4E" w:rsidRDefault="000F3086" w:rsidP="00D7507E">
    <w:pPr>
      <w:pStyle w:val="Cabealho"/>
      <w:jc w:val="both"/>
      <w:rPr>
        <w:sz w:val="16"/>
        <w:szCs w:val="16"/>
      </w:rPr>
    </w:pPr>
    <w:r w:rsidRPr="00262B4E">
      <w:rPr>
        <w:noProof/>
        <w:sz w:val="16"/>
        <w:szCs w:val="16"/>
        <w:lang w:eastAsia="pt-BR"/>
      </w:rPr>
      <w:drawing>
        <wp:inline distT="0" distB="0" distL="0" distR="0">
          <wp:extent cx="5397362" cy="647303"/>
          <wp:effectExtent l="1905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7900" cy="6509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575"/>
    <w:multiLevelType w:val="multilevel"/>
    <w:tmpl w:val="F962B3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7CB6A0F"/>
    <w:multiLevelType w:val="hybridMultilevel"/>
    <w:tmpl w:val="3D544E4C"/>
    <w:lvl w:ilvl="0" w:tplc="04160011">
      <w:start w:val="1"/>
      <w:numFmt w:val="decimal"/>
      <w:lvlText w:val="%1)"/>
      <w:lvlJc w:val="left"/>
      <w:pPr>
        <w:ind w:left="1070" w:hanging="360"/>
      </w:p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
    <w:nsid w:val="18496653"/>
    <w:multiLevelType w:val="hybridMultilevel"/>
    <w:tmpl w:val="8BF0ECD6"/>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A8C70F9"/>
    <w:multiLevelType w:val="hybridMultilevel"/>
    <w:tmpl w:val="282CABDC"/>
    <w:lvl w:ilvl="0" w:tplc="C1EAB32E">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3280547"/>
    <w:multiLevelType w:val="multilevel"/>
    <w:tmpl w:val="66066BC0"/>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0" w:firstLine="0"/>
      </w:pPr>
      <w:rPr>
        <w:rFonts w:hint="default"/>
        <w:b w:val="0"/>
        <w:color w:val="auto"/>
        <w:sz w:val="24"/>
        <w:szCs w:val="24"/>
      </w:rPr>
    </w:lvl>
    <w:lvl w:ilvl="2">
      <w:start w:val="1"/>
      <w:numFmt w:val="decimal"/>
      <w:isLgl/>
      <w:lvlText w:val="%1.%2.%3."/>
      <w:lvlJc w:val="left"/>
      <w:pPr>
        <w:ind w:left="0" w:firstLine="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A2463CE"/>
    <w:multiLevelType w:val="hybridMultilevel"/>
    <w:tmpl w:val="2158A262"/>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5D1C42CB"/>
    <w:multiLevelType w:val="hybridMultilevel"/>
    <w:tmpl w:val="BFDCD904"/>
    <w:lvl w:ilvl="0" w:tplc="C39608FA">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F6D08D0"/>
    <w:multiLevelType w:val="hybridMultilevel"/>
    <w:tmpl w:val="7528008A"/>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8"/>
  </w:num>
  <w:num w:numId="5">
    <w:abstractNumId w:val="6"/>
  </w:num>
  <w:num w:numId="6">
    <w:abstractNumId w:val="4"/>
  </w:num>
  <w:num w:numId="7">
    <w:abstractNumId w:val="5"/>
  </w:num>
  <w:num w:numId="8">
    <w:abstractNumId w:val="0"/>
  </w:num>
  <w:num w:numId="9">
    <w:abstractNumId w:val="7"/>
  </w:num>
  <w:num w:numId="10">
    <w:abstractNumId w:val="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89089"/>
  </w:hdrShapeDefaults>
  <w:footnotePr>
    <w:footnote w:id="0"/>
    <w:footnote w:id="1"/>
  </w:footnotePr>
  <w:endnotePr>
    <w:endnote w:id="0"/>
    <w:endnote w:id="1"/>
  </w:endnotePr>
  <w:compat/>
  <w:rsids>
    <w:rsidRoot w:val="00912249"/>
    <w:rsid w:val="0000168C"/>
    <w:rsid w:val="00001A11"/>
    <w:rsid w:val="00013676"/>
    <w:rsid w:val="00013940"/>
    <w:rsid w:val="000420B0"/>
    <w:rsid w:val="000442FF"/>
    <w:rsid w:val="0006280E"/>
    <w:rsid w:val="000764BA"/>
    <w:rsid w:val="00095922"/>
    <w:rsid w:val="00095A37"/>
    <w:rsid w:val="00097D32"/>
    <w:rsid w:val="000C4EC6"/>
    <w:rsid w:val="000E1675"/>
    <w:rsid w:val="000F2409"/>
    <w:rsid w:val="000F3086"/>
    <w:rsid w:val="000F4812"/>
    <w:rsid w:val="00101884"/>
    <w:rsid w:val="00110C58"/>
    <w:rsid w:val="00154550"/>
    <w:rsid w:val="00157008"/>
    <w:rsid w:val="0018021E"/>
    <w:rsid w:val="00186221"/>
    <w:rsid w:val="001A7473"/>
    <w:rsid w:val="001B01D7"/>
    <w:rsid w:val="001B392E"/>
    <w:rsid w:val="001F73E7"/>
    <w:rsid w:val="00211838"/>
    <w:rsid w:val="00222368"/>
    <w:rsid w:val="002333E6"/>
    <w:rsid w:val="00233CF9"/>
    <w:rsid w:val="00236A4C"/>
    <w:rsid w:val="002543AB"/>
    <w:rsid w:val="00262B4E"/>
    <w:rsid w:val="0029043D"/>
    <w:rsid w:val="002C5D60"/>
    <w:rsid w:val="002F5E9E"/>
    <w:rsid w:val="00306A7B"/>
    <w:rsid w:val="003226AC"/>
    <w:rsid w:val="00323B88"/>
    <w:rsid w:val="00331B3B"/>
    <w:rsid w:val="0033543C"/>
    <w:rsid w:val="0037261A"/>
    <w:rsid w:val="0037264C"/>
    <w:rsid w:val="0037336D"/>
    <w:rsid w:val="00374BB9"/>
    <w:rsid w:val="0038175D"/>
    <w:rsid w:val="0038248E"/>
    <w:rsid w:val="00383143"/>
    <w:rsid w:val="003A4E8D"/>
    <w:rsid w:val="003B7275"/>
    <w:rsid w:val="003C0DFC"/>
    <w:rsid w:val="003C149D"/>
    <w:rsid w:val="003D3EE3"/>
    <w:rsid w:val="003E02C6"/>
    <w:rsid w:val="003E1CC1"/>
    <w:rsid w:val="003E51F1"/>
    <w:rsid w:val="003F1002"/>
    <w:rsid w:val="003F471B"/>
    <w:rsid w:val="003F7F2B"/>
    <w:rsid w:val="00402B94"/>
    <w:rsid w:val="0044179E"/>
    <w:rsid w:val="004509C9"/>
    <w:rsid w:val="00456F91"/>
    <w:rsid w:val="004663D1"/>
    <w:rsid w:val="00471A61"/>
    <w:rsid w:val="00475378"/>
    <w:rsid w:val="00475FF6"/>
    <w:rsid w:val="0047790D"/>
    <w:rsid w:val="004815F1"/>
    <w:rsid w:val="004876EE"/>
    <w:rsid w:val="00497FC6"/>
    <w:rsid w:val="004A0B61"/>
    <w:rsid w:val="004C7DAD"/>
    <w:rsid w:val="004D1B1A"/>
    <w:rsid w:val="004F4876"/>
    <w:rsid w:val="004F502E"/>
    <w:rsid w:val="00506466"/>
    <w:rsid w:val="00513BF1"/>
    <w:rsid w:val="00522DA6"/>
    <w:rsid w:val="00523A1C"/>
    <w:rsid w:val="00526C8F"/>
    <w:rsid w:val="00567080"/>
    <w:rsid w:val="00571E5E"/>
    <w:rsid w:val="00574A8C"/>
    <w:rsid w:val="005A594F"/>
    <w:rsid w:val="005B3594"/>
    <w:rsid w:val="005B7B8C"/>
    <w:rsid w:val="005F5FC0"/>
    <w:rsid w:val="0060434E"/>
    <w:rsid w:val="006112E9"/>
    <w:rsid w:val="00617130"/>
    <w:rsid w:val="00621993"/>
    <w:rsid w:val="00621D3D"/>
    <w:rsid w:val="0063074F"/>
    <w:rsid w:val="00641CCB"/>
    <w:rsid w:val="006828EC"/>
    <w:rsid w:val="006927EA"/>
    <w:rsid w:val="006A17B4"/>
    <w:rsid w:val="006A225E"/>
    <w:rsid w:val="006A4414"/>
    <w:rsid w:val="006B0BF6"/>
    <w:rsid w:val="006B7882"/>
    <w:rsid w:val="006D4013"/>
    <w:rsid w:val="006D75C3"/>
    <w:rsid w:val="006E617D"/>
    <w:rsid w:val="006F54C9"/>
    <w:rsid w:val="006F71E0"/>
    <w:rsid w:val="00721D5F"/>
    <w:rsid w:val="00733DB0"/>
    <w:rsid w:val="0076066E"/>
    <w:rsid w:val="00766540"/>
    <w:rsid w:val="00793977"/>
    <w:rsid w:val="007A23A0"/>
    <w:rsid w:val="007C3C26"/>
    <w:rsid w:val="007E0B7E"/>
    <w:rsid w:val="007E2C10"/>
    <w:rsid w:val="007F3EC6"/>
    <w:rsid w:val="00812070"/>
    <w:rsid w:val="00812CA6"/>
    <w:rsid w:val="00823B36"/>
    <w:rsid w:val="00833362"/>
    <w:rsid w:val="00845E3E"/>
    <w:rsid w:val="0085580C"/>
    <w:rsid w:val="0087296C"/>
    <w:rsid w:val="00874540"/>
    <w:rsid w:val="008807A9"/>
    <w:rsid w:val="00890E26"/>
    <w:rsid w:val="00892F6C"/>
    <w:rsid w:val="008B2E42"/>
    <w:rsid w:val="008D1C9A"/>
    <w:rsid w:val="008D6154"/>
    <w:rsid w:val="008F1437"/>
    <w:rsid w:val="008F4FE3"/>
    <w:rsid w:val="00904A2A"/>
    <w:rsid w:val="00912249"/>
    <w:rsid w:val="00920A53"/>
    <w:rsid w:val="0092142C"/>
    <w:rsid w:val="009318BB"/>
    <w:rsid w:val="009412FB"/>
    <w:rsid w:val="0094367C"/>
    <w:rsid w:val="00952878"/>
    <w:rsid w:val="009625E7"/>
    <w:rsid w:val="00971E9C"/>
    <w:rsid w:val="009809B7"/>
    <w:rsid w:val="00996CC4"/>
    <w:rsid w:val="00996CF5"/>
    <w:rsid w:val="009A02F7"/>
    <w:rsid w:val="009A1C14"/>
    <w:rsid w:val="009A5C36"/>
    <w:rsid w:val="009E123F"/>
    <w:rsid w:val="009F53A6"/>
    <w:rsid w:val="00A305D6"/>
    <w:rsid w:val="00A4765D"/>
    <w:rsid w:val="00A53FD9"/>
    <w:rsid w:val="00A61659"/>
    <w:rsid w:val="00A67E8C"/>
    <w:rsid w:val="00A751A6"/>
    <w:rsid w:val="00A75BD8"/>
    <w:rsid w:val="00A8400B"/>
    <w:rsid w:val="00A92ADD"/>
    <w:rsid w:val="00A93F5B"/>
    <w:rsid w:val="00A968CF"/>
    <w:rsid w:val="00AD40EF"/>
    <w:rsid w:val="00AD42A2"/>
    <w:rsid w:val="00AE367F"/>
    <w:rsid w:val="00AE3A8B"/>
    <w:rsid w:val="00AE5C75"/>
    <w:rsid w:val="00B00184"/>
    <w:rsid w:val="00B1433D"/>
    <w:rsid w:val="00B22C9A"/>
    <w:rsid w:val="00B40768"/>
    <w:rsid w:val="00B42A20"/>
    <w:rsid w:val="00B454E9"/>
    <w:rsid w:val="00B46C0E"/>
    <w:rsid w:val="00B51A74"/>
    <w:rsid w:val="00B637C4"/>
    <w:rsid w:val="00B655B0"/>
    <w:rsid w:val="00B65D5B"/>
    <w:rsid w:val="00B722F8"/>
    <w:rsid w:val="00B76139"/>
    <w:rsid w:val="00BC06B4"/>
    <w:rsid w:val="00BE553C"/>
    <w:rsid w:val="00BF274C"/>
    <w:rsid w:val="00BF3FD0"/>
    <w:rsid w:val="00C02476"/>
    <w:rsid w:val="00C13FDA"/>
    <w:rsid w:val="00C234A0"/>
    <w:rsid w:val="00C35455"/>
    <w:rsid w:val="00C428B3"/>
    <w:rsid w:val="00C45988"/>
    <w:rsid w:val="00C52424"/>
    <w:rsid w:val="00C531F3"/>
    <w:rsid w:val="00C55180"/>
    <w:rsid w:val="00C63486"/>
    <w:rsid w:val="00C70933"/>
    <w:rsid w:val="00C818D3"/>
    <w:rsid w:val="00C863C8"/>
    <w:rsid w:val="00C878C5"/>
    <w:rsid w:val="00CA3279"/>
    <w:rsid w:val="00CA7975"/>
    <w:rsid w:val="00CB637E"/>
    <w:rsid w:val="00CC26C8"/>
    <w:rsid w:val="00CD78DF"/>
    <w:rsid w:val="00CE3003"/>
    <w:rsid w:val="00D00055"/>
    <w:rsid w:val="00D21800"/>
    <w:rsid w:val="00D221E9"/>
    <w:rsid w:val="00D227BF"/>
    <w:rsid w:val="00D267FF"/>
    <w:rsid w:val="00D57CB7"/>
    <w:rsid w:val="00D670B1"/>
    <w:rsid w:val="00D7507E"/>
    <w:rsid w:val="00D878A2"/>
    <w:rsid w:val="00DB1B9F"/>
    <w:rsid w:val="00DC08CD"/>
    <w:rsid w:val="00DD0C4B"/>
    <w:rsid w:val="00DD730D"/>
    <w:rsid w:val="00DE1D1C"/>
    <w:rsid w:val="00DE68B4"/>
    <w:rsid w:val="00DF7EEB"/>
    <w:rsid w:val="00E03DB3"/>
    <w:rsid w:val="00E4303C"/>
    <w:rsid w:val="00E52A36"/>
    <w:rsid w:val="00E870BA"/>
    <w:rsid w:val="00E9101A"/>
    <w:rsid w:val="00E97484"/>
    <w:rsid w:val="00EB0C19"/>
    <w:rsid w:val="00EC4CCA"/>
    <w:rsid w:val="00F01BCF"/>
    <w:rsid w:val="00F308FB"/>
    <w:rsid w:val="00F474FA"/>
    <w:rsid w:val="00F60D8A"/>
    <w:rsid w:val="00F63174"/>
    <w:rsid w:val="00F7412D"/>
    <w:rsid w:val="00F874A7"/>
    <w:rsid w:val="00F90A9A"/>
    <w:rsid w:val="00FA424E"/>
    <w:rsid w:val="00FA45EA"/>
    <w:rsid w:val="00FA4D19"/>
    <w:rsid w:val="00FB2691"/>
    <w:rsid w:val="00FB788C"/>
    <w:rsid w:val="00FD1DBB"/>
    <w:rsid w:val="00FE75F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E870B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next w:val="Normal"/>
    <w:link w:val="Ttulo3Char"/>
    <w:uiPriority w:val="9"/>
    <w:semiHidden/>
    <w:unhideWhenUsed/>
    <w:qFormat/>
    <w:rsid w:val="00E870BA"/>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PargrafodaLista">
    <w:name w:val="List Paragraph"/>
    <w:basedOn w:val="Normal"/>
    <w:uiPriority w:val="34"/>
    <w:qFormat/>
    <w:rsid w:val="00FA424E"/>
    <w:pPr>
      <w:suppressAutoHyphens/>
      <w:spacing w:after="0" w:line="240" w:lineRule="auto"/>
      <w:ind w:left="720"/>
      <w:contextualSpacing/>
    </w:pPr>
    <w:rPr>
      <w:rFonts w:ascii="Times New Roman" w:eastAsia="Times New Roman" w:hAnsi="Times New Roman"/>
      <w:sz w:val="24"/>
      <w:szCs w:val="24"/>
      <w:lang w:val="en-US" w:eastAsia="ar-SA"/>
    </w:rPr>
  </w:style>
  <w:style w:type="character" w:customStyle="1" w:styleId="WW-Absatz-Standardschriftart11111111">
    <w:name w:val="WW-Absatz-Standardschriftart11111111"/>
    <w:rsid w:val="00B51A74"/>
  </w:style>
  <w:style w:type="character" w:customStyle="1" w:styleId="Ttulo3Char">
    <w:name w:val="Título 3 Char"/>
    <w:basedOn w:val="Fontepargpadro"/>
    <w:link w:val="Ttulo3"/>
    <w:uiPriority w:val="9"/>
    <w:semiHidden/>
    <w:rsid w:val="00E870BA"/>
    <w:rPr>
      <w:rFonts w:asciiTheme="majorHAnsi" w:eastAsiaTheme="majorEastAsia" w:hAnsiTheme="majorHAnsi" w:cstheme="majorBidi"/>
      <w:b/>
      <w:bCs/>
      <w:color w:val="5B9BD5" w:themeColor="accent1"/>
      <w:sz w:val="22"/>
      <w:szCs w:val="22"/>
      <w:lang w:eastAsia="en-US"/>
    </w:rPr>
  </w:style>
  <w:style w:type="character" w:customStyle="1" w:styleId="Ttulo1Char">
    <w:name w:val="Título 1 Char"/>
    <w:basedOn w:val="Fontepargpadro"/>
    <w:link w:val="Ttulo1"/>
    <w:uiPriority w:val="9"/>
    <w:rsid w:val="00E870BA"/>
    <w:rPr>
      <w:rFonts w:asciiTheme="majorHAnsi" w:eastAsiaTheme="majorEastAsia" w:hAnsiTheme="majorHAnsi" w:cstheme="majorBidi"/>
      <w:b/>
      <w:bCs/>
      <w:color w:val="2E74B5" w:themeColor="accent1" w:themeShade="BF"/>
      <w:sz w:val="28"/>
      <w:szCs w:val="28"/>
      <w:lang w:eastAsia="en-US"/>
    </w:rPr>
  </w:style>
  <w:style w:type="table" w:styleId="Tabelacomgrade">
    <w:name w:val="Table Grid"/>
    <w:basedOn w:val="Tabelanormal"/>
    <w:uiPriority w:val="39"/>
    <w:rsid w:val="00CE300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21</Pages>
  <Words>6245</Words>
  <Characters>33725</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10</cp:revision>
  <cp:lastPrinted>2021-03-03T14:31:00Z</cp:lastPrinted>
  <dcterms:created xsi:type="dcterms:W3CDTF">2022-11-24T13:27:00Z</dcterms:created>
  <dcterms:modified xsi:type="dcterms:W3CDTF">2023-02-08T20:27:00Z</dcterms:modified>
</cp:coreProperties>
</file>