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Ind w:w="-108" w:type="dxa"/>
        <w:tblLayout w:type="fixed"/>
        <w:tblCellMar>
          <w:left w:w="10" w:type="dxa"/>
          <w:right w:w="10" w:type="dxa"/>
        </w:tblCellMar>
        <w:tblLook w:val="0000"/>
      </w:tblPr>
      <w:tblGrid>
        <w:gridCol w:w="9212"/>
      </w:tblGrid>
      <w:tr w:rsidR="00F349E6" w:rsidRPr="0023075A">
        <w:tc>
          <w:tcPr>
            <w:tcW w:w="9212" w:type="dxa"/>
            <w:shd w:val="clear" w:color="auto" w:fill="D9D9D9"/>
            <w:tcMar>
              <w:top w:w="0" w:type="dxa"/>
              <w:left w:w="108" w:type="dxa"/>
              <w:bottom w:w="0" w:type="dxa"/>
              <w:right w:w="108" w:type="dxa"/>
            </w:tcMar>
          </w:tcPr>
          <w:p w:rsidR="00F349E6" w:rsidRPr="0023075A" w:rsidRDefault="00802CB9">
            <w:pPr>
              <w:pStyle w:val="Ttulo3"/>
              <w:tabs>
                <w:tab w:val="left" w:pos="0"/>
              </w:tabs>
              <w:ind w:right="0"/>
              <w:rPr>
                <w:rFonts w:ascii="Arial" w:hAnsi="Arial" w:cs="Arial"/>
              </w:rPr>
            </w:pPr>
            <w:bookmarkStart w:id="0" w:name="_GoBack"/>
            <w:bookmarkEnd w:id="0"/>
            <w:r w:rsidRPr="0023075A">
              <w:rPr>
                <w:rFonts w:ascii="Arial" w:hAnsi="Arial" w:cs="Arial"/>
              </w:rPr>
              <w:t>TERMO DE REFERÊNCIA</w:t>
            </w:r>
          </w:p>
        </w:tc>
      </w:tr>
    </w:tbl>
    <w:p w:rsidR="00F349E6" w:rsidRPr="0023075A" w:rsidRDefault="00802CB9">
      <w:pPr>
        <w:pStyle w:val="Standard"/>
        <w:tabs>
          <w:tab w:val="left" w:pos="0"/>
        </w:tabs>
        <w:spacing w:before="240" w:after="240" w:line="360" w:lineRule="auto"/>
        <w:jc w:val="both"/>
        <w:rPr>
          <w:rFonts w:ascii="Arial" w:hAnsi="Arial" w:cs="Arial"/>
          <w:b/>
        </w:rPr>
      </w:pPr>
      <w:proofErr w:type="gramStart"/>
      <w:r w:rsidRPr="0023075A">
        <w:rPr>
          <w:rFonts w:ascii="Arial" w:hAnsi="Arial" w:cs="Arial"/>
          <w:b/>
        </w:rPr>
        <w:t>1)</w:t>
      </w:r>
      <w:proofErr w:type="gramEnd"/>
      <w:r w:rsidRPr="0023075A">
        <w:rPr>
          <w:rFonts w:ascii="Arial" w:hAnsi="Arial" w:cs="Arial"/>
          <w:b/>
        </w:rPr>
        <w:t xml:space="preserve"> OBJETO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Contratação de empresa para realização de análises laboratoriais acreditado/homologado pelo INMETRO/ Rede Metrológica de Minas Gerais - RMMG em análises físico-químicas em conformidade com NBR/ISO 17025 e com este Termo de Referência.</w:t>
      </w:r>
    </w:p>
    <w:p w:rsidR="00F349E6" w:rsidRPr="0023075A" w:rsidRDefault="00802CB9">
      <w:pPr>
        <w:pStyle w:val="Standard"/>
        <w:tabs>
          <w:tab w:val="left" w:pos="0"/>
        </w:tabs>
        <w:suppressAutoHyphens/>
        <w:spacing w:after="240" w:line="360" w:lineRule="auto"/>
        <w:jc w:val="both"/>
        <w:rPr>
          <w:rFonts w:ascii="Arial" w:hAnsi="Arial" w:cs="Arial"/>
          <w:b/>
        </w:rPr>
      </w:pPr>
      <w:proofErr w:type="gramStart"/>
      <w:r w:rsidRPr="0023075A">
        <w:rPr>
          <w:rFonts w:ascii="Arial" w:hAnsi="Arial" w:cs="Arial"/>
          <w:b/>
        </w:rPr>
        <w:t>2)</w:t>
      </w:r>
      <w:proofErr w:type="gramEnd"/>
      <w:r w:rsidRPr="0023075A">
        <w:rPr>
          <w:rFonts w:ascii="Arial" w:hAnsi="Arial" w:cs="Arial"/>
          <w:b/>
        </w:rPr>
        <w:t>JUSTIFICATIVAS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2.1. As análises em questão são de rotina das </w:t>
      </w:r>
      <w:proofErr w:type="spellStart"/>
      <w:r w:rsidRPr="0023075A">
        <w:rPr>
          <w:rFonts w:ascii="Arial" w:hAnsi="Arial" w:cs="Arial"/>
        </w:rPr>
        <w:t>ETEs</w:t>
      </w:r>
      <w:proofErr w:type="spellEnd"/>
      <w:r w:rsidRPr="0023075A">
        <w:rPr>
          <w:rFonts w:ascii="Arial" w:hAnsi="Arial" w:cs="Arial"/>
        </w:rPr>
        <w:t xml:space="preserve"> B. do Triunfo e B. </w:t>
      </w:r>
      <w:proofErr w:type="spellStart"/>
      <w:proofErr w:type="gramStart"/>
      <w:r w:rsidRPr="0023075A">
        <w:rPr>
          <w:rFonts w:ascii="Arial" w:hAnsi="Arial" w:cs="Arial"/>
        </w:rPr>
        <w:t>Lage</w:t>
      </w:r>
      <w:proofErr w:type="spellEnd"/>
      <w:r w:rsidRPr="0023075A">
        <w:rPr>
          <w:rFonts w:ascii="Arial" w:hAnsi="Arial" w:cs="Arial"/>
        </w:rPr>
        <w:t xml:space="preserve"> e da ETE da ETA Marechal Castelo Branco em atendimento à condicionante de monitoramento de efluentes líquidos de acordo com a licença de operação das unidades de tratamento de esgoto em conformidade com a DN COPAM/CONAMA CERH nº 01/2008, as quais serão encaminhadas bimestral e semestralmente para os órgãos de fiscalização ambiental estadual (SUPRAM) e municipal (Secretaria de Meio Ambiente - JF).</w:t>
      </w:r>
      <w:proofErr w:type="gramEnd"/>
      <w:r w:rsidRPr="0023075A">
        <w:rPr>
          <w:rFonts w:ascii="Arial" w:hAnsi="Arial" w:cs="Arial"/>
        </w:rPr>
        <w:t xml:space="preserve"> O escopo dos parâmetros analisados devem ser </w:t>
      </w:r>
      <w:proofErr w:type="gramStart"/>
      <w:r w:rsidRPr="0023075A">
        <w:rPr>
          <w:rFonts w:ascii="Arial" w:hAnsi="Arial" w:cs="Arial"/>
        </w:rPr>
        <w:t>acreditados em conformidade com a NBR/ISO 17025</w:t>
      </w:r>
      <w:proofErr w:type="gramEnd"/>
      <w:r w:rsidRPr="0023075A">
        <w:rPr>
          <w:rFonts w:ascii="Arial" w:hAnsi="Arial" w:cs="Arial"/>
        </w:rPr>
        <w:t xml:space="preserve"> e realizados por laboratório acreditado/homologado pelo INMETRO/Rede Metrológica de Minas Gerais, por exigência dos órgãos de fiscalização ambiental.</w:t>
      </w:r>
    </w:p>
    <w:p w:rsidR="00F349E6" w:rsidRPr="0023075A" w:rsidRDefault="00802CB9">
      <w:pPr>
        <w:pStyle w:val="Standard"/>
        <w:spacing w:after="240" w:line="360" w:lineRule="auto"/>
        <w:jc w:val="both"/>
        <w:rPr>
          <w:rFonts w:ascii="Arial" w:hAnsi="Arial" w:cs="Arial"/>
        </w:rPr>
      </w:pPr>
      <w:r w:rsidRPr="0023075A">
        <w:rPr>
          <w:rFonts w:ascii="Arial" w:hAnsi="Arial" w:cs="Arial"/>
        </w:rPr>
        <w:t>2.2 Considerando a grande quantidade de parâmetros a serem realizados em várias amostras e com pontos de coleta distintos será utilizado como critério de julgamento o menor valor global, uma vez que diversificar esta prestação de serviço demandaria agendamentos com diversas empresas para uma mesma data e horário de coleta na tentativa de coletar um único perfil de amostra.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2.3 Em relação ao critério de julgamento pelo menor valor global</w:t>
      </w:r>
      <w:proofErr w:type="gramStart"/>
      <w:r w:rsidRPr="0023075A">
        <w:rPr>
          <w:rFonts w:ascii="Arial" w:hAnsi="Arial" w:cs="Arial"/>
        </w:rPr>
        <w:t>, entendemos</w:t>
      </w:r>
      <w:proofErr w:type="gramEnd"/>
      <w:r w:rsidRPr="0023075A">
        <w:rPr>
          <w:rFonts w:ascii="Arial" w:hAnsi="Arial" w:cs="Arial"/>
        </w:rPr>
        <w:t xml:space="preserve"> que o mesmo gera uma economia de escala, visto que, a contratação de mais de uma empresa, acarretará obrigatoriamente no aumento de custo decorrente da mobilização de mais de um coletor (deslocamento, hotel, alimentação, </w:t>
      </w:r>
      <w:proofErr w:type="spellStart"/>
      <w:r w:rsidRPr="0023075A">
        <w:rPr>
          <w:rFonts w:ascii="Arial" w:hAnsi="Arial" w:cs="Arial"/>
        </w:rPr>
        <w:t>etc</w:t>
      </w:r>
      <w:proofErr w:type="spellEnd"/>
      <w:r w:rsidRPr="0023075A">
        <w:rPr>
          <w:rFonts w:ascii="Arial" w:hAnsi="Arial" w:cs="Arial"/>
        </w:rPr>
        <w:t>...) custo este que necessariamente será repassado para a CESAMA.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2.4. Esta contratação refere-se à aquisição de objeto de natureza comum, cujo padrão de desempenho e qualidade é objetivamente definido por meio de especificações </w:t>
      </w:r>
      <w:r w:rsidRPr="0023075A">
        <w:rPr>
          <w:rFonts w:ascii="Arial" w:hAnsi="Arial" w:cs="Arial"/>
        </w:rPr>
        <w:lastRenderedPageBreak/>
        <w:t xml:space="preserve">reconhecidas e usuais do mercado, enquadrando-se no art. 32, inciso IV da Lei Federal </w:t>
      </w:r>
      <w:proofErr w:type="gramStart"/>
      <w:r w:rsidRPr="0023075A">
        <w:rPr>
          <w:rFonts w:ascii="Arial" w:hAnsi="Arial" w:cs="Arial"/>
        </w:rPr>
        <w:t>nº.</w:t>
      </w:r>
      <w:proofErr w:type="gramEnd"/>
      <w:r w:rsidRPr="0023075A">
        <w:rPr>
          <w:rFonts w:ascii="Arial" w:hAnsi="Arial" w:cs="Arial"/>
        </w:rPr>
        <w:t>13.303/16 e art. 1º, parágrafo único da Lei Federal nº. 10.520/02, a saber, a modalidade pregão.</w:t>
      </w:r>
    </w:p>
    <w:p w:rsidR="00F349E6" w:rsidRPr="0023075A" w:rsidRDefault="00802CB9">
      <w:pPr>
        <w:pStyle w:val="Standard"/>
        <w:spacing w:after="240" w:line="360" w:lineRule="auto"/>
        <w:jc w:val="both"/>
        <w:rPr>
          <w:rFonts w:ascii="Arial" w:hAnsi="Arial" w:cs="Arial"/>
        </w:rPr>
      </w:pPr>
      <w:r w:rsidRPr="0023075A">
        <w:rPr>
          <w:rFonts w:ascii="Arial" w:hAnsi="Arial" w:cs="Arial"/>
        </w:rPr>
        <w:t>2.5 Considerando que é ato discricionário da Administração diante da avaliação de conveniência e oportunidade no caso concreto; e considerando que existem no me</w:t>
      </w:r>
      <w:r w:rsidRPr="0023075A">
        <w:rPr>
          <w:rFonts w:ascii="Arial" w:hAnsi="Arial" w:cs="Arial"/>
        </w:rPr>
        <w:t>r</w:t>
      </w:r>
      <w:r w:rsidRPr="0023075A">
        <w:rPr>
          <w:rFonts w:ascii="Arial" w:hAnsi="Arial" w:cs="Arial"/>
        </w:rPr>
        <w:t>cado diversas empresas com potencial técnico, profissional e operacional, suficiente para atender satisfatoriamente às exigências previstas neste edital, entende-se que é conveniente a vedação de participação de empresas em “consórcio” neste certame.</w:t>
      </w:r>
    </w:p>
    <w:p w:rsidR="00F349E6" w:rsidRPr="0023075A" w:rsidRDefault="00802CB9">
      <w:pPr>
        <w:pStyle w:val="Standard"/>
        <w:tabs>
          <w:tab w:val="left" w:pos="0"/>
        </w:tabs>
        <w:spacing w:after="240" w:line="360" w:lineRule="auto"/>
        <w:jc w:val="both"/>
        <w:rPr>
          <w:rFonts w:ascii="Arial" w:hAnsi="Arial" w:cs="Arial"/>
          <w:b/>
        </w:rPr>
      </w:pPr>
      <w:r w:rsidRPr="0023075A">
        <w:rPr>
          <w:rFonts w:ascii="Arial" w:hAnsi="Arial" w:cs="Arial"/>
          <w:b/>
        </w:rPr>
        <w:t>3 RECURSOS FINANCEIROS</w:t>
      </w:r>
    </w:p>
    <w:p w:rsidR="00F349E6" w:rsidRPr="0023075A" w:rsidRDefault="00802CB9">
      <w:pPr>
        <w:pStyle w:val="Standard"/>
        <w:spacing w:after="240" w:line="360" w:lineRule="auto"/>
        <w:jc w:val="both"/>
        <w:rPr>
          <w:rFonts w:ascii="Arial" w:hAnsi="Arial" w:cs="Arial"/>
        </w:rPr>
      </w:pPr>
      <w:r w:rsidRPr="0023075A">
        <w:rPr>
          <w:rFonts w:ascii="Arial" w:hAnsi="Arial" w:cs="Arial"/>
        </w:rPr>
        <w:t>3.1. Os recursos financeiros necessários aos pagamentos do objeto desta licitação são oriundos da CESAMA.</w:t>
      </w:r>
    </w:p>
    <w:p w:rsidR="00F349E6" w:rsidRPr="0023075A" w:rsidRDefault="00802CB9">
      <w:pPr>
        <w:pStyle w:val="Standard"/>
        <w:tabs>
          <w:tab w:val="left" w:pos="0"/>
        </w:tabs>
        <w:suppressAutoHyphens/>
        <w:spacing w:after="240" w:line="360" w:lineRule="auto"/>
        <w:jc w:val="both"/>
        <w:rPr>
          <w:rFonts w:ascii="Arial" w:hAnsi="Arial" w:cs="Arial"/>
          <w:b/>
        </w:rPr>
      </w:pPr>
      <w:proofErr w:type="gramStart"/>
      <w:r w:rsidRPr="0023075A">
        <w:rPr>
          <w:rFonts w:ascii="Arial" w:hAnsi="Arial" w:cs="Arial"/>
          <w:b/>
        </w:rPr>
        <w:t>4 DESCRIÇÃO</w:t>
      </w:r>
      <w:proofErr w:type="gramEnd"/>
      <w:r w:rsidRPr="0023075A">
        <w:rPr>
          <w:rFonts w:ascii="Arial" w:hAnsi="Arial" w:cs="Arial"/>
          <w:b/>
        </w:rPr>
        <w:t xml:space="preserve"> DOS SERVIÇOS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4.1)</w:t>
      </w:r>
      <w:proofErr w:type="gramEnd"/>
      <w:r w:rsidRPr="0023075A">
        <w:rPr>
          <w:rFonts w:ascii="Arial" w:hAnsi="Arial" w:cs="Arial"/>
        </w:rPr>
        <w:tab/>
        <w:t>ETE Barreira do Triunfo</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4.1.1)</w:t>
      </w:r>
      <w:proofErr w:type="gramEnd"/>
      <w:r w:rsidRPr="0023075A">
        <w:rPr>
          <w:rFonts w:ascii="Arial" w:hAnsi="Arial" w:cs="Arial"/>
        </w:rPr>
        <w:t xml:space="preserve"> A coleta para realização das análises físico-químicas quantitativas: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determinação dos parâmetros: </w:t>
      </w:r>
      <w:proofErr w:type="gramStart"/>
      <w:r w:rsidRPr="0023075A">
        <w:rPr>
          <w:rFonts w:ascii="Arial" w:hAnsi="Arial" w:cs="Arial"/>
        </w:rPr>
        <w:t>pH</w:t>
      </w:r>
      <w:proofErr w:type="gramEnd"/>
      <w:r w:rsidRPr="0023075A">
        <w:rPr>
          <w:rFonts w:ascii="Arial" w:hAnsi="Arial" w:cs="Arial"/>
        </w:rPr>
        <w:t>, Temperatura, Sólidos Sedimentáveis, DBO, DQO, Sólidos Suspensos e óleos e Graxas.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Será realizada em dois pontos: entrada e saída da referida ETE.</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06 (seis)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4.1.2)</w:t>
      </w:r>
      <w:proofErr w:type="gramEnd"/>
      <w:r w:rsidRPr="0023075A">
        <w:rPr>
          <w:rFonts w:ascii="Arial" w:hAnsi="Arial" w:cs="Arial"/>
        </w:rPr>
        <w:t xml:space="preserve"> Coleta para realização de análises físico-químicas quantitativas: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determinação dos parâmetros </w:t>
      </w:r>
      <w:proofErr w:type="gramStart"/>
      <w:r w:rsidRPr="0023075A">
        <w:rPr>
          <w:rFonts w:ascii="Arial" w:hAnsi="Arial" w:cs="Arial"/>
        </w:rPr>
        <w:t>pH</w:t>
      </w:r>
      <w:proofErr w:type="gramEnd"/>
      <w:r w:rsidRPr="0023075A">
        <w:rPr>
          <w:rFonts w:ascii="Arial" w:hAnsi="Arial" w:cs="Arial"/>
        </w:rPr>
        <w:t xml:space="preserve">, DBO, DQO, Oxigênio Dissolvido, E. </w:t>
      </w:r>
      <w:proofErr w:type="spellStart"/>
      <w:r w:rsidRPr="0023075A">
        <w:rPr>
          <w:rFonts w:ascii="Arial" w:hAnsi="Arial" w:cs="Arial"/>
        </w:rPr>
        <w:t>Coli</w:t>
      </w:r>
      <w:proofErr w:type="spellEnd"/>
      <w:r w:rsidRPr="0023075A">
        <w:rPr>
          <w:rFonts w:ascii="Arial" w:hAnsi="Arial" w:cs="Arial"/>
        </w:rPr>
        <w:t xml:space="preserve"> e </w:t>
      </w:r>
      <w:proofErr w:type="spellStart"/>
      <w:r w:rsidRPr="0023075A">
        <w:rPr>
          <w:rFonts w:ascii="Arial" w:hAnsi="Arial" w:cs="Arial"/>
        </w:rPr>
        <w:t>Turbidez</w:t>
      </w:r>
      <w:proofErr w:type="spellEnd"/>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Será realizada em dois pontos: montante e jusante da ETE B. do Triunfo no Rio </w:t>
      </w:r>
      <w:proofErr w:type="spellStart"/>
      <w:r w:rsidRPr="0023075A">
        <w:rPr>
          <w:rFonts w:ascii="Arial" w:hAnsi="Arial" w:cs="Arial"/>
        </w:rPr>
        <w:t>Paraibuna</w:t>
      </w:r>
      <w:proofErr w:type="spellEnd"/>
      <w:r w:rsidRPr="0023075A">
        <w:rPr>
          <w:rFonts w:ascii="Arial" w:hAnsi="Arial" w:cs="Arial"/>
        </w:rPr>
        <w:t>.</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lastRenderedPageBreak/>
        <w:t>Total de campanhas: 06 (seis)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4.1.3)</w:t>
      </w:r>
      <w:proofErr w:type="gramEnd"/>
      <w:r w:rsidRPr="0023075A">
        <w:rPr>
          <w:rFonts w:ascii="Arial" w:hAnsi="Arial" w:cs="Arial"/>
        </w:rPr>
        <w:t xml:space="preserve"> Coleta para realização de análises físico-químicas quantitativas: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determinação dos parâmetros Fósforo </w:t>
      </w:r>
      <w:proofErr w:type="gramStart"/>
      <w:r w:rsidRPr="0023075A">
        <w:rPr>
          <w:rFonts w:ascii="Arial" w:hAnsi="Arial" w:cs="Arial"/>
        </w:rPr>
        <w:t>Total, Nitrogênio</w:t>
      </w:r>
      <w:proofErr w:type="gramEnd"/>
      <w:r w:rsidRPr="0023075A">
        <w:rPr>
          <w:rFonts w:ascii="Arial" w:hAnsi="Arial" w:cs="Arial"/>
        </w:rPr>
        <w:t xml:space="preserve"> Amoniacal total, Óleos e Graxas e Nitrato.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Será realizada em dois pontos: montante e jusante da ETE B. do Triunfo no Rio </w:t>
      </w:r>
      <w:proofErr w:type="spellStart"/>
      <w:r w:rsidRPr="0023075A">
        <w:rPr>
          <w:rFonts w:ascii="Arial" w:hAnsi="Arial" w:cs="Arial"/>
        </w:rPr>
        <w:t>Paraibuna</w:t>
      </w:r>
      <w:proofErr w:type="spellEnd"/>
      <w:r w:rsidRPr="0023075A">
        <w:rPr>
          <w:rFonts w:ascii="Arial" w:hAnsi="Arial" w:cs="Arial"/>
        </w:rPr>
        <w:t>.</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02 (duas)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4.2)</w:t>
      </w:r>
      <w:proofErr w:type="gramEnd"/>
      <w:r w:rsidRPr="0023075A">
        <w:rPr>
          <w:rFonts w:ascii="Arial" w:hAnsi="Arial" w:cs="Arial"/>
        </w:rPr>
        <w:tab/>
        <w:t xml:space="preserve">ETE Barbosa </w:t>
      </w:r>
      <w:proofErr w:type="spellStart"/>
      <w:r w:rsidRPr="0023075A">
        <w:rPr>
          <w:rFonts w:ascii="Arial" w:hAnsi="Arial" w:cs="Arial"/>
        </w:rPr>
        <w:t>Lage</w:t>
      </w:r>
      <w:proofErr w:type="spellEnd"/>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Para realização das análises físico-químicas quantitativas para determinação dos parâmetros de acordo com a tabela abaixo.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Será realizada em dois pontos: entrada e saída da referida ETE</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mensal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12 (doze)</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Efluentes Sanitários</w:t>
      </w:r>
    </w:p>
    <w:tbl>
      <w:tblPr>
        <w:tblW w:w="9691" w:type="dxa"/>
        <w:jc w:val="center"/>
        <w:tblLayout w:type="fixed"/>
        <w:tblCellMar>
          <w:left w:w="10" w:type="dxa"/>
          <w:right w:w="10" w:type="dxa"/>
        </w:tblCellMar>
        <w:tblLook w:val="0000"/>
      </w:tblPr>
      <w:tblGrid>
        <w:gridCol w:w="2779"/>
        <w:gridCol w:w="5103"/>
        <w:gridCol w:w="1809"/>
      </w:tblGrid>
      <w:tr w:rsidR="00F349E6" w:rsidRPr="0023075A">
        <w:trPr>
          <w:trHeight w:val="23"/>
          <w:jc w:val="center"/>
        </w:trPr>
        <w:tc>
          <w:tcPr>
            <w:tcW w:w="2779"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Local da Amostragem</w:t>
            </w:r>
          </w:p>
        </w:tc>
        <w:tc>
          <w:tcPr>
            <w:tcW w:w="5103"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Parâmetro</w:t>
            </w:r>
          </w:p>
        </w:tc>
        <w:tc>
          <w:tcPr>
            <w:tcW w:w="1809"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proofErr w:type="spellStart"/>
            <w:r w:rsidRPr="0023075A">
              <w:rPr>
                <w:rFonts w:ascii="Arial" w:hAnsi="Arial" w:cs="Arial"/>
              </w:rPr>
              <w:t>Frequência</w:t>
            </w:r>
            <w:proofErr w:type="spellEnd"/>
          </w:p>
        </w:tc>
      </w:tr>
      <w:tr w:rsidR="00F349E6" w:rsidRPr="0023075A">
        <w:trPr>
          <w:trHeight w:val="23"/>
          <w:jc w:val="center"/>
        </w:trPr>
        <w:tc>
          <w:tcPr>
            <w:tcW w:w="2779" w:type="dxa"/>
            <w:tcBorders>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Entrada da ETE – Efluente bruto</w:t>
            </w:r>
          </w:p>
        </w:tc>
        <w:tc>
          <w:tcPr>
            <w:tcW w:w="5103" w:type="dxa"/>
            <w:tcBorders>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 xml:space="preserve">DBO, DQO, Condutividade elétrica, Óleos e graxas, Fósforo Total, Nitrogênio Amoniacal, Sólidos Suspensos, SST, Oxigênio Dissolvido, </w:t>
            </w:r>
            <w:proofErr w:type="spellStart"/>
            <w:proofErr w:type="gramStart"/>
            <w:r w:rsidRPr="0023075A">
              <w:rPr>
                <w:rFonts w:ascii="Arial" w:hAnsi="Arial" w:cs="Arial"/>
              </w:rPr>
              <w:t>MBA`</w:t>
            </w:r>
            <w:proofErr w:type="spellEnd"/>
            <w:proofErr w:type="gramEnd"/>
            <w:r w:rsidRPr="0023075A">
              <w:rPr>
                <w:rFonts w:ascii="Arial" w:hAnsi="Arial" w:cs="Arial"/>
              </w:rPr>
              <w:t>s, Cádmio Total, Chumbo Total, cromo Total,  Níquel Total, Zinco Total, Cobre Total.</w:t>
            </w:r>
          </w:p>
        </w:tc>
        <w:tc>
          <w:tcPr>
            <w:tcW w:w="1809"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Mensal</w:t>
            </w:r>
          </w:p>
        </w:tc>
      </w:tr>
      <w:tr w:rsidR="00F349E6" w:rsidRPr="0023075A">
        <w:trPr>
          <w:trHeight w:val="23"/>
          <w:jc w:val="center"/>
        </w:trPr>
        <w:tc>
          <w:tcPr>
            <w:tcW w:w="2779" w:type="dxa"/>
            <w:tcBorders>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Saída da ETE – Efluente tratado</w:t>
            </w:r>
          </w:p>
        </w:tc>
        <w:tc>
          <w:tcPr>
            <w:tcW w:w="5103" w:type="dxa"/>
            <w:tcBorders>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 xml:space="preserve">DBO, DQO, Condutividade elétrica, Óleos e graxas, Fósforo Total, Nitrogênio Amoniacal, Sólidos Suspensos, </w:t>
            </w:r>
            <w:proofErr w:type="gramStart"/>
            <w:r w:rsidRPr="0023075A">
              <w:rPr>
                <w:rFonts w:ascii="Arial" w:hAnsi="Arial" w:cs="Arial"/>
              </w:rPr>
              <w:t>SST,</w:t>
            </w:r>
            <w:proofErr w:type="gramEnd"/>
            <w:r w:rsidRPr="0023075A">
              <w:rPr>
                <w:rFonts w:ascii="Arial" w:hAnsi="Arial" w:cs="Arial"/>
              </w:rPr>
              <w:t xml:space="preserve">Oxigênio Dissolvido, </w:t>
            </w:r>
            <w:proofErr w:type="spellStart"/>
            <w:r w:rsidRPr="0023075A">
              <w:rPr>
                <w:rFonts w:ascii="Arial" w:hAnsi="Arial" w:cs="Arial"/>
              </w:rPr>
              <w:t>MBA`</w:t>
            </w:r>
            <w:proofErr w:type="spellEnd"/>
            <w:r w:rsidRPr="0023075A">
              <w:rPr>
                <w:rFonts w:ascii="Arial" w:hAnsi="Arial" w:cs="Arial"/>
              </w:rPr>
              <w:t>s, Cádmio Total, Chumbo Total, cromo Total, Níquel Total, Zinco Total, Cobre Total.</w:t>
            </w:r>
          </w:p>
        </w:tc>
        <w:tc>
          <w:tcPr>
            <w:tcW w:w="1809"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Mensal</w:t>
            </w:r>
          </w:p>
        </w:tc>
      </w:tr>
    </w:tbl>
    <w:p w:rsidR="00F349E6" w:rsidRPr="0023075A" w:rsidRDefault="00F349E6">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lastRenderedPageBreak/>
        <w:t xml:space="preserve">OBS: A amostragem na ETE B. </w:t>
      </w:r>
      <w:proofErr w:type="spellStart"/>
      <w:r w:rsidRPr="0023075A">
        <w:rPr>
          <w:rFonts w:ascii="Arial" w:hAnsi="Arial" w:cs="Arial"/>
        </w:rPr>
        <w:t>Lage</w:t>
      </w:r>
      <w:proofErr w:type="spellEnd"/>
      <w:r w:rsidRPr="0023075A">
        <w:rPr>
          <w:rFonts w:ascii="Arial" w:hAnsi="Arial" w:cs="Arial"/>
        </w:rPr>
        <w:t xml:space="preserve"> para os parâmetros DBO e DQO no afluente e efluente devem ser </w:t>
      </w:r>
      <w:proofErr w:type="gramStart"/>
      <w:r w:rsidRPr="0023075A">
        <w:rPr>
          <w:rFonts w:ascii="Arial" w:hAnsi="Arial" w:cs="Arial"/>
        </w:rPr>
        <w:t>composta</w:t>
      </w:r>
      <w:proofErr w:type="gramEnd"/>
      <w:r w:rsidRPr="0023075A">
        <w:rPr>
          <w:rFonts w:ascii="Arial" w:hAnsi="Arial" w:cs="Arial"/>
        </w:rPr>
        <w:t xml:space="preserve"> pelo período de 08 horas.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4.3)</w:t>
      </w:r>
      <w:proofErr w:type="gramEnd"/>
      <w:r w:rsidRPr="0023075A">
        <w:rPr>
          <w:rFonts w:ascii="Arial" w:hAnsi="Arial" w:cs="Arial"/>
        </w:rPr>
        <w:tab/>
        <w:t>Corpo Receptor</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Para realização de análises físico-químicas quantitativas para determinação dos parâmetros de acordo com a tabela abaixo.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Será realizada em dois pontos: montante e jusante da referida ETE no Rio </w:t>
      </w:r>
      <w:proofErr w:type="spellStart"/>
      <w:r w:rsidRPr="0023075A">
        <w:rPr>
          <w:rFonts w:ascii="Arial" w:hAnsi="Arial" w:cs="Arial"/>
        </w:rPr>
        <w:t>Paraibuna</w:t>
      </w:r>
      <w:proofErr w:type="spellEnd"/>
      <w:r w:rsidRPr="0023075A">
        <w:rPr>
          <w:rFonts w:ascii="Arial" w:hAnsi="Arial" w:cs="Arial"/>
        </w:rPr>
        <w:t>.</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mensal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12 (doze)</w:t>
      </w:r>
    </w:p>
    <w:tbl>
      <w:tblPr>
        <w:tblW w:w="9700" w:type="dxa"/>
        <w:jc w:val="center"/>
        <w:tblLayout w:type="fixed"/>
        <w:tblCellMar>
          <w:left w:w="10" w:type="dxa"/>
          <w:right w:w="10" w:type="dxa"/>
        </w:tblCellMar>
        <w:tblLook w:val="0000"/>
      </w:tblPr>
      <w:tblGrid>
        <w:gridCol w:w="3224"/>
        <w:gridCol w:w="3210"/>
        <w:gridCol w:w="3266"/>
      </w:tblGrid>
      <w:tr w:rsidR="00F349E6" w:rsidRPr="0023075A">
        <w:trPr>
          <w:trHeight w:val="23"/>
          <w:jc w:val="center"/>
        </w:trPr>
        <w:tc>
          <w:tcPr>
            <w:tcW w:w="3224"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Ponto de Amostragem</w:t>
            </w:r>
          </w:p>
        </w:tc>
        <w:tc>
          <w:tcPr>
            <w:tcW w:w="3210"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Parâmetro</w:t>
            </w:r>
          </w:p>
        </w:tc>
        <w:tc>
          <w:tcPr>
            <w:tcW w:w="3266"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proofErr w:type="spellStart"/>
            <w:r w:rsidRPr="0023075A">
              <w:rPr>
                <w:rFonts w:ascii="Arial" w:hAnsi="Arial" w:cs="Arial"/>
              </w:rPr>
              <w:t>Frequência</w:t>
            </w:r>
            <w:proofErr w:type="spellEnd"/>
          </w:p>
        </w:tc>
      </w:tr>
      <w:tr w:rsidR="00F349E6" w:rsidRPr="0023075A">
        <w:trPr>
          <w:trHeight w:val="23"/>
          <w:jc w:val="center"/>
        </w:trPr>
        <w:tc>
          <w:tcPr>
            <w:tcW w:w="3224" w:type="dxa"/>
            <w:tcBorders>
              <w:left w:val="single" w:sz="6" w:space="0" w:color="000001"/>
              <w:bottom w:val="single" w:sz="6" w:space="0" w:color="000001"/>
            </w:tcBorders>
            <w:tcMar>
              <w:top w:w="0" w:type="dxa"/>
              <w:left w:w="0" w:type="dxa"/>
              <w:bottom w:w="0" w:type="dxa"/>
              <w:right w:w="0" w:type="dxa"/>
            </w:tcMar>
            <w:vAlign w:val="center"/>
          </w:tcPr>
          <w:p w:rsidR="00F349E6" w:rsidRPr="0023075A" w:rsidRDefault="00F349E6">
            <w:pPr>
              <w:pStyle w:val="Standard"/>
              <w:suppressAutoHyphens/>
              <w:snapToGrid w:val="0"/>
              <w:spacing w:line="240" w:lineRule="auto"/>
              <w:jc w:val="center"/>
              <w:rPr>
                <w:rFonts w:ascii="Arial" w:hAnsi="Arial" w:cs="Arial"/>
              </w:rPr>
            </w:pPr>
          </w:p>
          <w:p w:rsidR="00F349E6" w:rsidRPr="0023075A" w:rsidRDefault="00F349E6">
            <w:pPr>
              <w:pStyle w:val="Standard"/>
              <w:suppressAutoHyphens/>
              <w:spacing w:line="240" w:lineRule="auto"/>
              <w:jc w:val="center"/>
              <w:rPr>
                <w:rFonts w:ascii="Arial" w:hAnsi="Arial" w:cs="Arial"/>
              </w:rPr>
            </w:pPr>
          </w:p>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Montante e Jusante</w:t>
            </w:r>
          </w:p>
        </w:tc>
        <w:tc>
          <w:tcPr>
            <w:tcW w:w="3210" w:type="dxa"/>
            <w:tcBorders>
              <w:left w:val="single" w:sz="6" w:space="0" w:color="000001"/>
              <w:bottom w:val="single" w:sz="6"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 xml:space="preserve">DBO, DQO, E. </w:t>
            </w:r>
            <w:proofErr w:type="spellStart"/>
            <w:r w:rsidRPr="0023075A">
              <w:rPr>
                <w:rFonts w:ascii="Arial" w:hAnsi="Arial" w:cs="Arial"/>
              </w:rPr>
              <w:t>Coli</w:t>
            </w:r>
            <w:proofErr w:type="spellEnd"/>
            <w:r w:rsidRPr="0023075A">
              <w:rPr>
                <w:rFonts w:ascii="Arial" w:hAnsi="Arial" w:cs="Arial"/>
              </w:rPr>
              <w:t xml:space="preserve">, Fósforo Total, Nitrogênio Amoniacal, Óleos e Graxas, Oxigênio </w:t>
            </w:r>
            <w:proofErr w:type="gramStart"/>
            <w:r w:rsidRPr="0023075A">
              <w:rPr>
                <w:rFonts w:ascii="Arial" w:hAnsi="Arial" w:cs="Arial"/>
              </w:rPr>
              <w:t>Dissolvido,</w:t>
            </w:r>
            <w:proofErr w:type="gramEnd"/>
            <w:r w:rsidRPr="0023075A">
              <w:rPr>
                <w:rFonts w:ascii="Arial" w:hAnsi="Arial" w:cs="Arial"/>
              </w:rPr>
              <w:t xml:space="preserve">pH, </w:t>
            </w:r>
            <w:proofErr w:type="spellStart"/>
            <w:r w:rsidRPr="0023075A">
              <w:rPr>
                <w:rFonts w:ascii="Arial" w:hAnsi="Arial" w:cs="Arial"/>
              </w:rPr>
              <w:t>MBA`</w:t>
            </w:r>
            <w:proofErr w:type="spellEnd"/>
            <w:r w:rsidRPr="0023075A">
              <w:rPr>
                <w:rFonts w:ascii="Arial" w:hAnsi="Arial" w:cs="Arial"/>
              </w:rPr>
              <w:t xml:space="preserve">s e </w:t>
            </w:r>
            <w:proofErr w:type="spellStart"/>
            <w:r w:rsidRPr="0023075A">
              <w:rPr>
                <w:rFonts w:ascii="Arial" w:hAnsi="Arial" w:cs="Arial"/>
              </w:rPr>
              <w:t>Turbidez</w:t>
            </w:r>
            <w:proofErr w:type="spellEnd"/>
          </w:p>
        </w:tc>
        <w:tc>
          <w:tcPr>
            <w:tcW w:w="3266"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F349E6" w:rsidRPr="0023075A" w:rsidRDefault="00F349E6">
            <w:pPr>
              <w:pStyle w:val="Standard"/>
              <w:suppressAutoHyphens/>
              <w:snapToGrid w:val="0"/>
              <w:spacing w:line="240" w:lineRule="auto"/>
              <w:jc w:val="center"/>
              <w:rPr>
                <w:rFonts w:ascii="Arial" w:hAnsi="Arial" w:cs="Arial"/>
              </w:rPr>
            </w:pPr>
          </w:p>
          <w:p w:rsidR="00F349E6" w:rsidRPr="0023075A" w:rsidRDefault="00F349E6">
            <w:pPr>
              <w:pStyle w:val="Standard"/>
              <w:suppressAutoHyphens/>
              <w:spacing w:line="240" w:lineRule="auto"/>
              <w:jc w:val="center"/>
              <w:rPr>
                <w:rFonts w:ascii="Arial" w:hAnsi="Arial" w:cs="Arial"/>
              </w:rPr>
            </w:pPr>
          </w:p>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Mensal</w:t>
            </w:r>
          </w:p>
        </w:tc>
      </w:tr>
    </w:tbl>
    <w:p w:rsidR="00F349E6" w:rsidRPr="0023075A" w:rsidRDefault="00F349E6">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4.4)</w:t>
      </w:r>
      <w:proofErr w:type="gramEnd"/>
      <w:r w:rsidRPr="0023075A">
        <w:rPr>
          <w:rFonts w:ascii="Arial" w:hAnsi="Arial" w:cs="Arial"/>
        </w:rPr>
        <w:tab/>
        <w:t>Águas Subterrâneas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Para realização de análises </w:t>
      </w:r>
      <w:proofErr w:type="spellStart"/>
      <w:r w:rsidRPr="0023075A">
        <w:rPr>
          <w:rFonts w:ascii="Arial" w:hAnsi="Arial" w:cs="Arial"/>
        </w:rPr>
        <w:t>Físico-químicas</w:t>
      </w:r>
      <w:proofErr w:type="spellEnd"/>
      <w:r w:rsidRPr="0023075A">
        <w:rPr>
          <w:rFonts w:ascii="Arial" w:hAnsi="Arial" w:cs="Arial"/>
        </w:rPr>
        <w:t xml:space="preserve"> quantitativas para determinação dos parâmetros de acordo com a tabela abaixo.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Será feita em cinco pontos na área operacional da referida ETE.</w:t>
      </w:r>
    </w:p>
    <w:p w:rsidR="00F349E6" w:rsidRPr="0023075A" w:rsidRDefault="00802CB9">
      <w:pPr>
        <w:pStyle w:val="Standard"/>
        <w:suppressAutoHyphens/>
        <w:spacing w:after="240" w:line="360" w:lineRule="auto"/>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mensal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Total de campanhas: 12 (doze)</w:t>
      </w:r>
    </w:p>
    <w:tbl>
      <w:tblPr>
        <w:tblW w:w="9691" w:type="dxa"/>
        <w:jc w:val="center"/>
        <w:tblLayout w:type="fixed"/>
        <w:tblCellMar>
          <w:left w:w="10" w:type="dxa"/>
          <w:right w:w="10" w:type="dxa"/>
        </w:tblCellMar>
        <w:tblLook w:val="0000"/>
      </w:tblPr>
      <w:tblGrid>
        <w:gridCol w:w="3212"/>
        <w:gridCol w:w="3212"/>
        <w:gridCol w:w="3267"/>
      </w:tblGrid>
      <w:tr w:rsidR="00F349E6" w:rsidRPr="0023075A">
        <w:trPr>
          <w:trHeight w:val="23"/>
          <w:jc w:val="center"/>
        </w:trPr>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Ponto de Amostragem</w:t>
            </w:r>
          </w:p>
        </w:tc>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Parâmetro</w:t>
            </w:r>
          </w:p>
        </w:tc>
        <w:tc>
          <w:tcPr>
            <w:tcW w:w="3267"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proofErr w:type="spellStart"/>
            <w:r w:rsidRPr="0023075A">
              <w:rPr>
                <w:rFonts w:ascii="Arial" w:hAnsi="Arial" w:cs="Arial"/>
              </w:rPr>
              <w:t>Frequência</w:t>
            </w:r>
            <w:proofErr w:type="spellEnd"/>
          </w:p>
        </w:tc>
      </w:tr>
      <w:tr w:rsidR="00F349E6" w:rsidRPr="0023075A">
        <w:trPr>
          <w:trHeight w:val="23"/>
          <w:jc w:val="center"/>
        </w:trPr>
        <w:tc>
          <w:tcPr>
            <w:tcW w:w="3212" w:type="dxa"/>
            <w:tcBorders>
              <w:left w:val="single" w:sz="6" w:space="0" w:color="000001"/>
              <w:bottom w:val="single" w:sz="6" w:space="0" w:color="000001"/>
            </w:tcBorders>
            <w:tcMar>
              <w:top w:w="0" w:type="dxa"/>
              <w:left w:w="0" w:type="dxa"/>
              <w:bottom w:w="0" w:type="dxa"/>
              <w:right w:w="0" w:type="dxa"/>
            </w:tcMar>
          </w:tcPr>
          <w:p w:rsidR="00F349E6" w:rsidRPr="0023075A" w:rsidRDefault="00F349E6">
            <w:pPr>
              <w:pStyle w:val="Standard"/>
              <w:suppressAutoHyphens/>
              <w:snapToGrid w:val="0"/>
              <w:spacing w:line="240" w:lineRule="auto"/>
              <w:jc w:val="both"/>
              <w:rPr>
                <w:rFonts w:ascii="Arial" w:hAnsi="Arial" w:cs="Arial"/>
              </w:rPr>
            </w:pPr>
          </w:p>
          <w:p w:rsidR="00F349E6" w:rsidRPr="0023075A" w:rsidRDefault="00F349E6">
            <w:pPr>
              <w:pStyle w:val="Standard"/>
              <w:suppressAutoHyphens/>
              <w:spacing w:line="240" w:lineRule="auto"/>
              <w:jc w:val="both"/>
              <w:rPr>
                <w:rFonts w:ascii="Arial" w:hAnsi="Arial" w:cs="Arial"/>
              </w:rPr>
            </w:pPr>
          </w:p>
          <w:p w:rsidR="00F349E6" w:rsidRPr="0023075A" w:rsidRDefault="00802CB9">
            <w:pPr>
              <w:pStyle w:val="Standard"/>
              <w:suppressAutoHyphens/>
              <w:spacing w:line="240" w:lineRule="auto"/>
              <w:jc w:val="both"/>
              <w:rPr>
                <w:rFonts w:ascii="Arial" w:hAnsi="Arial" w:cs="Arial"/>
              </w:rPr>
            </w:pPr>
            <w:r w:rsidRPr="0023075A">
              <w:rPr>
                <w:rFonts w:ascii="Arial" w:hAnsi="Arial" w:cs="Arial"/>
              </w:rPr>
              <w:t>Águas subterrâneas</w:t>
            </w:r>
          </w:p>
        </w:tc>
        <w:tc>
          <w:tcPr>
            <w:tcW w:w="3212" w:type="dxa"/>
            <w:tcBorders>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 xml:space="preserve">DBO, DQO, E. </w:t>
            </w:r>
            <w:proofErr w:type="spellStart"/>
            <w:r w:rsidRPr="0023075A">
              <w:rPr>
                <w:rFonts w:ascii="Arial" w:hAnsi="Arial" w:cs="Arial"/>
              </w:rPr>
              <w:t>Coli</w:t>
            </w:r>
            <w:proofErr w:type="spellEnd"/>
            <w:r w:rsidRPr="0023075A">
              <w:rPr>
                <w:rFonts w:ascii="Arial" w:hAnsi="Arial" w:cs="Arial"/>
              </w:rPr>
              <w:t xml:space="preserve"> Fósforo Total, Nitrogênio Amoniacal, Óleos e Graxas, Oxigênio </w:t>
            </w:r>
            <w:proofErr w:type="gramStart"/>
            <w:r w:rsidRPr="0023075A">
              <w:rPr>
                <w:rFonts w:ascii="Arial" w:hAnsi="Arial" w:cs="Arial"/>
              </w:rPr>
              <w:t>Dissolvido,</w:t>
            </w:r>
            <w:proofErr w:type="gramEnd"/>
            <w:r w:rsidRPr="0023075A">
              <w:rPr>
                <w:rFonts w:ascii="Arial" w:hAnsi="Arial" w:cs="Arial"/>
              </w:rPr>
              <w:t xml:space="preserve">pH, </w:t>
            </w:r>
            <w:proofErr w:type="spellStart"/>
            <w:r w:rsidRPr="0023075A">
              <w:rPr>
                <w:rFonts w:ascii="Arial" w:hAnsi="Arial" w:cs="Arial"/>
              </w:rPr>
              <w:t>MBA`</w:t>
            </w:r>
            <w:proofErr w:type="spellEnd"/>
            <w:r w:rsidRPr="0023075A">
              <w:rPr>
                <w:rFonts w:ascii="Arial" w:hAnsi="Arial" w:cs="Arial"/>
              </w:rPr>
              <w:t xml:space="preserve">s e </w:t>
            </w:r>
            <w:proofErr w:type="spellStart"/>
            <w:r w:rsidRPr="0023075A">
              <w:rPr>
                <w:rFonts w:ascii="Arial" w:hAnsi="Arial" w:cs="Arial"/>
              </w:rPr>
              <w:t>Turbidez</w:t>
            </w:r>
            <w:proofErr w:type="spellEnd"/>
          </w:p>
        </w:tc>
        <w:tc>
          <w:tcPr>
            <w:tcW w:w="3267" w:type="dxa"/>
            <w:tcBorders>
              <w:left w:val="single" w:sz="6" w:space="0" w:color="000001"/>
              <w:bottom w:val="single" w:sz="6" w:space="0" w:color="000001"/>
              <w:right w:val="single" w:sz="6" w:space="0" w:color="000001"/>
            </w:tcBorders>
            <w:tcMar>
              <w:top w:w="0" w:type="dxa"/>
              <w:left w:w="0" w:type="dxa"/>
              <w:bottom w:w="0" w:type="dxa"/>
              <w:right w:w="0" w:type="dxa"/>
            </w:tcMar>
          </w:tcPr>
          <w:p w:rsidR="00F349E6" w:rsidRPr="0023075A" w:rsidRDefault="00F349E6">
            <w:pPr>
              <w:pStyle w:val="Standard"/>
              <w:suppressAutoHyphens/>
              <w:snapToGrid w:val="0"/>
              <w:spacing w:line="240" w:lineRule="auto"/>
              <w:jc w:val="both"/>
              <w:rPr>
                <w:rFonts w:ascii="Arial" w:hAnsi="Arial" w:cs="Arial"/>
              </w:rPr>
            </w:pPr>
          </w:p>
          <w:p w:rsidR="00F349E6" w:rsidRPr="0023075A" w:rsidRDefault="00F349E6">
            <w:pPr>
              <w:pStyle w:val="Standard"/>
              <w:suppressAutoHyphens/>
              <w:spacing w:line="240" w:lineRule="auto"/>
              <w:jc w:val="both"/>
              <w:rPr>
                <w:rFonts w:ascii="Arial" w:hAnsi="Arial" w:cs="Arial"/>
              </w:rPr>
            </w:pPr>
          </w:p>
          <w:p w:rsidR="00F349E6" w:rsidRPr="0023075A" w:rsidRDefault="00802CB9">
            <w:pPr>
              <w:pStyle w:val="Standard"/>
              <w:suppressAutoHyphens/>
              <w:spacing w:line="240" w:lineRule="auto"/>
              <w:jc w:val="both"/>
              <w:rPr>
                <w:rFonts w:ascii="Arial" w:hAnsi="Arial" w:cs="Arial"/>
              </w:rPr>
            </w:pPr>
            <w:proofErr w:type="gramStart"/>
            <w:r w:rsidRPr="0023075A">
              <w:rPr>
                <w:rFonts w:ascii="Arial" w:hAnsi="Arial" w:cs="Arial"/>
              </w:rPr>
              <w:t>mensal</w:t>
            </w:r>
            <w:proofErr w:type="gramEnd"/>
          </w:p>
        </w:tc>
      </w:tr>
    </w:tbl>
    <w:p w:rsidR="00F349E6" w:rsidRPr="0023075A" w:rsidRDefault="00F349E6">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lastRenderedPageBreak/>
        <w:t>4.5)</w:t>
      </w:r>
      <w:proofErr w:type="gramEnd"/>
      <w:r w:rsidRPr="0023075A">
        <w:rPr>
          <w:rFonts w:ascii="Arial" w:hAnsi="Arial" w:cs="Arial"/>
        </w:rPr>
        <w:tab/>
        <w:t>ETE Portal do Aeroporto</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4.5.1)</w:t>
      </w:r>
      <w:proofErr w:type="gramEnd"/>
      <w:r w:rsidRPr="0023075A">
        <w:rPr>
          <w:rFonts w:ascii="Arial" w:hAnsi="Arial" w:cs="Arial"/>
        </w:rPr>
        <w:t xml:space="preserve"> A coleta deverá ser realizada na ETE Portal do Aeroporto para realização das análises físico-químicas quantitativas.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determinação dos parâmetros: </w:t>
      </w:r>
      <w:proofErr w:type="gramStart"/>
      <w:r w:rsidRPr="0023075A">
        <w:rPr>
          <w:rFonts w:ascii="Arial" w:hAnsi="Arial" w:cs="Arial"/>
        </w:rPr>
        <w:t>pH</w:t>
      </w:r>
      <w:proofErr w:type="gramEnd"/>
      <w:r w:rsidRPr="0023075A">
        <w:rPr>
          <w:rFonts w:ascii="Arial" w:hAnsi="Arial" w:cs="Arial"/>
        </w:rPr>
        <w:t>, Temperatura, Sólidos Sedimentáveis, DBO, DQO, Sólidos Suspensos e óleos e Graxas.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Será feito em dois pontos: entrada e saída da referida ETE.</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02 (duas)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4.5.2)</w:t>
      </w:r>
      <w:proofErr w:type="gramEnd"/>
      <w:r w:rsidRPr="0023075A">
        <w:rPr>
          <w:rFonts w:ascii="Arial" w:hAnsi="Arial" w:cs="Arial"/>
        </w:rPr>
        <w:t xml:space="preserve"> A coleta deverá ser realizada na ETE Portal do Aeroporto para realização das análises físico-químicas quantitativas.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determinação dos parâmetros </w:t>
      </w:r>
      <w:proofErr w:type="gramStart"/>
      <w:r w:rsidRPr="0023075A">
        <w:rPr>
          <w:rFonts w:ascii="Arial" w:hAnsi="Arial" w:cs="Arial"/>
        </w:rPr>
        <w:t>pH</w:t>
      </w:r>
      <w:proofErr w:type="gramEnd"/>
      <w:r w:rsidRPr="0023075A">
        <w:rPr>
          <w:rFonts w:ascii="Arial" w:hAnsi="Arial" w:cs="Arial"/>
        </w:rPr>
        <w:t xml:space="preserve">, DBO, DQO, E. </w:t>
      </w:r>
      <w:proofErr w:type="spellStart"/>
      <w:r w:rsidRPr="0023075A">
        <w:rPr>
          <w:rFonts w:ascii="Arial" w:hAnsi="Arial" w:cs="Arial"/>
        </w:rPr>
        <w:t>Coli</w:t>
      </w:r>
      <w:proofErr w:type="spellEnd"/>
      <w:r w:rsidRPr="0023075A">
        <w:rPr>
          <w:rFonts w:ascii="Arial" w:hAnsi="Arial" w:cs="Arial"/>
        </w:rPr>
        <w:t xml:space="preserve">, Oxigênio Dissolvido e </w:t>
      </w:r>
      <w:proofErr w:type="spellStart"/>
      <w:r w:rsidRPr="0023075A">
        <w:rPr>
          <w:rFonts w:ascii="Arial" w:hAnsi="Arial" w:cs="Arial"/>
        </w:rPr>
        <w:t>Turbidez</w:t>
      </w:r>
      <w:proofErr w:type="spellEnd"/>
      <w:r w:rsidRPr="0023075A">
        <w:rPr>
          <w:rFonts w:ascii="Arial" w:hAnsi="Arial" w:cs="Arial"/>
        </w:rPr>
        <w:t>.</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Será feita em dois pontos: montante e jusante da referida ETE.</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06 (seis)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4.5.3)</w:t>
      </w:r>
      <w:proofErr w:type="gramEnd"/>
      <w:r w:rsidRPr="0023075A">
        <w:rPr>
          <w:rFonts w:ascii="Arial" w:hAnsi="Arial" w:cs="Arial"/>
        </w:rPr>
        <w:t xml:space="preserve"> A coleta deverá ser realizada na ETE Portal do Aeroporto para realização das análises físico-químicas quantitativas.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Para determinação dos parâmetros Fósforo Total, Nitrato, Nitrogênio Amoniacal Total e Óleos e Graxas.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Será feita em dois pontos: montante e jusante da referida ETE.</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02 (duas)</w:t>
      </w:r>
    </w:p>
    <w:tbl>
      <w:tblPr>
        <w:tblW w:w="9695" w:type="dxa"/>
        <w:jc w:val="center"/>
        <w:tblLayout w:type="fixed"/>
        <w:tblCellMar>
          <w:left w:w="10" w:type="dxa"/>
          <w:right w:w="10" w:type="dxa"/>
        </w:tblCellMar>
        <w:tblLook w:val="0000"/>
      </w:tblPr>
      <w:tblGrid>
        <w:gridCol w:w="3212"/>
        <w:gridCol w:w="4243"/>
        <w:gridCol w:w="2240"/>
      </w:tblGrid>
      <w:tr w:rsidR="00F349E6" w:rsidRPr="0023075A">
        <w:trPr>
          <w:trHeight w:val="23"/>
          <w:jc w:val="center"/>
        </w:trPr>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Local da amostragem</w:t>
            </w:r>
          </w:p>
        </w:tc>
        <w:tc>
          <w:tcPr>
            <w:tcW w:w="4243" w:type="dxa"/>
            <w:tcBorders>
              <w:top w:val="single" w:sz="6" w:space="0" w:color="000001"/>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tabs>
                <w:tab w:val="left" w:pos="6810"/>
              </w:tabs>
              <w:suppressAutoHyphens/>
              <w:spacing w:line="240" w:lineRule="auto"/>
              <w:jc w:val="both"/>
              <w:rPr>
                <w:rFonts w:ascii="Arial" w:hAnsi="Arial" w:cs="Arial"/>
              </w:rPr>
            </w:pPr>
            <w:r w:rsidRPr="0023075A">
              <w:rPr>
                <w:rFonts w:ascii="Arial" w:hAnsi="Arial" w:cs="Arial"/>
              </w:rPr>
              <w:t>Parâmetro DN COPAM/ CERH 01/08</w:t>
            </w:r>
          </w:p>
        </w:tc>
        <w:tc>
          <w:tcPr>
            <w:tcW w:w="2240"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proofErr w:type="spellStart"/>
            <w:r w:rsidRPr="0023075A">
              <w:rPr>
                <w:rFonts w:ascii="Arial" w:hAnsi="Arial" w:cs="Arial"/>
              </w:rPr>
              <w:t>Frequência</w:t>
            </w:r>
            <w:proofErr w:type="spellEnd"/>
          </w:p>
        </w:tc>
      </w:tr>
      <w:tr w:rsidR="00F349E6" w:rsidRPr="0023075A">
        <w:trPr>
          <w:trHeight w:val="23"/>
          <w:jc w:val="center"/>
        </w:trPr>
        <w:tc>
          <w:tcPr>
            <w:tcW w:w="3212" w:type="dxa"/>
            <w:tcBorders>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lastRenderedPageBreak/>
              <w:t>Entrada e saída da ETE</w:t>
            </w:r>
          </w:p>
        </w:tc>
        <w:tc>
          <w:tcPr>
            <w:tcW w:w="4243" w:type="dxa"/>
            <w:tcBorders>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PH, temperatura, SST, Sólidos Sedimentáveis DBO, DQO e Óleos e Graxas</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Semestral</w:t>
            </w:r>
          </w:p>
        </w:tc>
      </w:tr>
      <w:tr w:rsidR="00F349E6" w:rsidRPr="0023075A">
        <w:trPr>
          <w:trHeight w:val="23"/>
          <w:jc w:val="center"/>
        </w:trPr>
        <w:tc>
          <w:tcPr>
            <w:tcW w:w="3212" w:type="dxa"/>
            <w:vMerge w:val="restart"/>
            <w:tcBorders>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Montante e jusante</w:t>
            </w:r>
          </w:p>
        </w:tc>
        <w:tc>
          <w:tcPr>
            <w:tcW w:w="4243" w:type="dxa"/>
            <w:tcBorders>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 xml:space="preserve">DBO, DQO, E. </w:t>
            </w:r>
            <w:proofErr w:type="spellStart"/>
            <w:r w:rsidRPr="0023075A">
              <w:rPr>
                <w:rFonts w:ascii="Arial" w:hAnsi="Arial" w:cs="Arial"/>
              </w:rPr>
              <w:t>Coli</w:t>
            </w:r>
            <w:proofErr w:type="spellEnd"/>
            <w:r w:rsidRPr="0023075A">
              <w:rPr>
                <w:rFonts w:ascii="Arial" w:hAnsi="Arial" w:cs="Arial"/>
              </w:rPr>
              <w:t xml:space="preserve">, </w:t>
            </w:r>
            <w:proofErr w:type="spellStart"/>
            <w:r w:rsidRPr="0023075A">
              <w:rPr>
                <w:rFonts w:ascii="Arial" w:hAnsi="Arial" w:cs="Arial"/>
              </w:rPr>
              <w:t>Oxígênio</w:t>
            </w:r>
            <w:proofErr w:type="spellEnd"/>
            <w:r w:rsidRPr="0023075A">
              <w:rPr>
                <w:rFonts w:ascii="Arial" w:hAnsi="Arial" w:cs="Arial"/>
              </w:rPr>
              <w:t xml:space="preserve"> Dissolvido, </w:t>
            </w:r>
            <w:proofErr w:type="gramStart"/>
            <w:r w:rsidRPr="0023075A">
              <w:rPr>
                <w:rFonts w:ascii="Arial" w:hAnsi="Arial" w:cs="Arial"/>
              </w:rPr>
              <w:t>pH</w:t>
            </w:r>
            <w:proofErr w:type="gramEnd"/>
            <w:r w:rsidRPr="0023075A">
              <w:rPr>
                <w:rFonts w:ascii="Arial" w:hAnsi="Arial" w:cs="Arial"/>
              </w:rPr>
              <w:t xml:space="preserve"> e </w:t>
            </w:r>
            <w:proofErr w:type="spellStart"/>
            <w:r w:rsidRPr="0023075A">
              <w:rPr>
                <w:rFonts w:ascii="Arial" w:hAnsi="Arial" w:cs="Arial"/>
              </w:rPr>
              <w:t>Turbidez</w:t>
            </w:r>
            <w:proofErr w:type="spellEnd"/>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Bimestral</w:t>
            </w:r>
          </w:p>
        </w:tc>
      </w:tr>
      <w:tr w:rsidR="00F349E6" w:rsidRPr="0023075A">
        <w:trPr>
          <w:trHeight w:val="23"/>
          <w:jc w:val="center"/>
        </w:trPr>
        <w:tc>
          <w:tcPr>
            <w:tcW w:w="3212" w:type="dxa"/>
            <w:vMerge/>
            <w:tcBorders>
              <w:left w:val="single" w:sz="6" w:space="0" w:color="000001"/>
              <w:bottom w:val="single" w:sz="6" w:space="0" w:color="000001"/>
            </w:tcBorders>
            <w:tcMar>
              <w:top w:w="0" w:type="dxa"/>
              <w:left w:w="0" w:type="dxa"/>
              <w:bottom w:w="0" w:type="dxa"/>
              <w:right w:w="0" w:type="dxa"/>
            </w:tcMar>
          </w:tcPr>
          <w:p w:rsidR="00BD5FE4" w:rsidRPr="0023075A" w:rsidRDefault="00BD5FE4">
            <w:pPr>
              <w:suppressAutoHyphens w:val="0"/>
              <w:rPr>
                <w:rFonts w:ascii="Arial" w:hAnsi="Arial" w:cs="Arial"/>
              </w:rPr>
            </w:pPr>
          </w:p>
        </w:tc>
        <w:tc>
          <w:tcPr>
            <w:tcW w:w="4243" w:type="dxa"/>
            <w:tcBorders>
              <w:left w:val="single" w:sz="6" w:space="0" w:color="000001"/>
              <w:bottom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Fósforo Total, Nitrato, Nitrogênio Total, Óleos e Graxas</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F349E6" w:rsidRPr="0023075A" w:rsidRDefault="00802CB9">
            <w:pPr>
              <w:pStyle w:val="Standard"/>
              <w:suppressAutoHyphens/>
              <w:spacing w:line="240" w:lineRule="auto"/>
              <w:jc w:val="both"/>
              <w:rPr>
                <w:rFonts w:ascii="Arial" w:hAnsi="Arial" w:cs="Arial"/>
              </w:rPr>
            </w:pPr>
            <w:r w:rsidRPr="0023075A">
              <w:rPr>
                <w:rFonts w:ascii="Arial" w:hAnsi="Arial" w:cs="Arial"/>
              </w:rPr>
              <w:t>Semestral</w:t>
            </w:r>
          </w:p>
        </w:tc>
      </w:tr>
    </w:tbl>
    <w:p w:rsidR="00F349E6" w:rsidRPr="0023075A" w:rsidRDefault="00F349E6">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Os relatórios deverão ser emitidos por laboratórios em conformidade com DN COPAM nº 167/2011 e deve conter a identificação, registro profissional e a assinatura do responsável técnico pelas análises, acompanhado da respectiva anotação de responsabilidade técnica – ART.</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OBS: 1) A data das coletas para as referidas análises semanais, </w:t>
      </w:r>
      <w:proofErr w:type="gramStart"/>
      <w:r w:rsidRPr="0023075A">
        <w:rPr>
          <w:rFonts w:ascii="Arial" w:hAnsi="Arial" w:cs="Arial"/>
        </w:rPr>
        <w:t>mensais e trimestral</w:t>
      </w:r>
      <w:proofErr w:type="gramEnd"/>
      <w:r w:rsidRPr="0023075A">
        <w:rPr>
          <w:rFonts w:ascii="Arial" w:hAnsi="Arial" w:cs="Arial"/>
        </w:rPr>
        <w:t xml:space="preserve"> será de acordo com o cronograma e solicitação do departamento competente, através de e-mail.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
      </w:r>
      <w:proofErr w:type="gramStart"/>
      <w:r w:rsidRPr="0023075A">
        <w:rPr>
          <w:rFonts w:ascii="Arial" w:hAnsi="Arial" w:cs="Arial"/>
        </w:rPr>
        <w:t>2)</w:t>
      </w:r>
      <w:proofErr w:type="gramEnd"/>
      <w:r w:rsidRPr="0023075A">
        <w:rPr>
          <w:rFonts w:ascii="Arial" w:hAnsi="Arial" w:cs="Arial"/>
        </w:rPr>
        <w:t xml:space="preserve"> Prazo máximo para entrega do relatório após a coleta será de até 15 dias úteis.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
      </w:r>
      <w:proofErr w:type="gramStart"/>
      <w:r w:rsidRPr="0023075A">
        <w:rPr>
          <w:rFonts w:ascii="Arial" w:hAnsi="Arial" w:cs="Arial"/>
        </w:rPr>
        <w:t>3)</w:t>
      </w:r>
      <w:proofErr w:type="gramEnd"/>
      <w:r w:rsidRPr="0023075A">
        <w:rPr>
          <w:rFonts w:ascii="Arial" w:hAnsi="Arial" w:cs="Arial"/>
        </w:rPr>
        <w:t xml:space="preserve"> Metodologia: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ABNT NBR/ISO IEC 17025:2005 – Requisitos Gerais para Competência de Laboratório.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ABNT </w:t>
      </w:r>
      <w:proofErr w:type="spellStart"/>
      <w:r w:rsidRPr="0023075A">
        <w:rPr>
          <w:rFonts w:ascii="Arial" w:hAnsi="Arial" w:cs="Arial"/>
        </w:rPr>
        <w:t>NBRs</w:t>
      </w:r>
      <w:proofErr w:type="spellEnd"/>
      <w:r w:rsidRPr="0023075A">
        <w:rPr>
          <w:rFonts w:ascii="Arial" w:hAnsi="Arial" w:cs="Arial"/>
        </w:rPr>
        <w:t xml:space="preserve"> 9798:1987 e 9898:1987 - Preservação e Técnica de amostragem de Efluentes Líquidos e Corpos Receptores – Procedimento.</w:t>
      </w:r>
    </w:p>
    <w:p w:rsidR="00F349E6" w:rsidRPr="0023075A" w:rsidRDefault="00802CB9">
      <w:pPr>
        <w:pStyle w:val="Standard"/>
        <w:suppressAutoHyphens/>
        <w:spacing w:after="240" w:line="360" w:lineRule="auto"/>
        <w:jc w:val="both"/>
        <w:rPr>
          <w:rFonts w:ascii="Arial" w:hAnsi="Arial" w:cs="Arial"/>
          <w:lang w:val="en-US"/>
        </w:rPr>
      </w:pPr>
      <w:proofErr w:type="spellStart"/>
      <w:r w:rsidRPr="0023075A">
        <w:rPr>
          <w:rFonts w:ascii="Arial" w:hAnsi="Arial" w:cs="Arial"/>
          <w:lang w:val="en-US"/>
        </w:rPr>
        <w:t>Standart</w:t>
      </w:r>
      <w:proofErr w:type="spellEnd"/>
      <w:r w:rsidRPr="0023075A">
        <w:rPr>
          <w:rFonts w:ascii="Arial" w:hAnsi="Arial" w:cs="Arial"/>
          <w:lang w:val="en-US"/>
        </w:rPr>
        <w:t xml:space="preserve"> Methods for Examination of Water and Wastewater – 22ª edition/2012.</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Legislação aplicável:</w:t>
      </w:r>
    </w:p>
    <w:p w:rsidR="00F349E6" w:rsidRPr="0023075A" w:rsidRDefault="00802CB9">
      <w:pPr>
        <w:pStyle w:val="Standard"/>
        <w:suppressAutoHyphens/>
        <w:spacing w:after="240" w:line="360" w:lineRule="auto"/>
        <w:ind w:firstLine="567"/>
        <w:jc w:val="both"/>
        <w:rPr>
          <w:rFonts w:ascii="Arial" w:hAnsi="Arial" w:cs="Arial"/>
        </w:rPr>
      </w:pPr>
      <w:r w:rsidRPr="0023075A">
        <w:rPr>
          <w:rFonts w:ascii="Arial" w:hAnsi="Arial" w:cs="Arial"/>
        </w:rPr>
        <w:t>DN COPAM/CONAMA CERH-MG nº 01/2008.</w:t>
      </w:r>
    </w:p>
    <w:p w:rsidR="00F349E6" w:rsidRPr="0023075A" w:rsidRDefault="00802CB9">
      <w:pPr>
        <w:pStyle w:val="Standard"/>
        <w:suppressAutoHyphens/>
        <w:spacing w:after="240" w:line="360" w:lineRule="auto"/>
        <w:ind w:firstLine="567"/>
        <w:jc w:val="both"/>
        <w:rPr>
          <w:rFonts w:ascii="Arial" w:hAnsi="Arial" w:cs="Arial"/>
        </w:rPr>
      </w:pPr>
      <w:r w:rsidRPr="0023075A">
        <w:rPr>
          <w:rFonts w:ascii="Arial" w:hAnsi="Arial" w:cs="Arial"/>
        </w:rPr>
        <w:t>Resolução CONAMA nº 396/2008.</w:t>
      </w:r>
    </w:p>
    <w:p w:rsidR="00F349E6" w:rsidRPr="0023075A" w:rsidRDefault="00802CB9">
      <w:pPr>
        <w:pStyle w:val="Standard"/>
        <w:suppressAutoHyphens/>
        <w:spacing w:after="240" w:line="360" w:lineRule="auto"/>
        <w:ind w:firstLine="567"/>
        <w:jc w:val="both"/>
        <w:rPr>
          <w:rFonts w:ascii="Arial" w:hAnsi="Arial" w:cs="Arial"/>
        </w:rPr>
      </w:pPr>
      <w:r w:rsidRPr="0023075A">
        <w:rPr>
          <w:rFonts w:ascii="Arial" w:hAnsi="Arial" w:cs="Arial"/>
        </w:rPr>
        <w:t>DN COPAM nº 167/2011.</w:t>
      </w:r>
    </w:p>
    <w:p w:rsidR="00F349E6" w:rsidRPr="0023075A" w:rsidRDefault="00F349E6">
      <w:pPr>
        <w:pStyle w:val="Standard"/>
        <w:suppressAutoHyphens/>
        <w:spacing w:after="240" w:line="360" w:lineRule="auto"/>
        <w:ind w:firstLine="567"/>
        <w:jc w:val="both"/>
        <w:rPr>
          <w:rFonts w:ascii="Arial" w:hAnsi="Arial" w:cs="Arial"/>
        </w:rPr>
      </w:pP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4.6)</w:t>
      </w:r>
      <w:proofErr w:type="gramEnd"/>
      <w:r w:rsidRPr="0023075A">
        <w:rPr>
          <w:rFonts w:ascii="Arial" w:hAnsi="Arial" w:cs="Arial"/>
        </w:rPr>
        <w:t xml:space="preserve">Procedimento para recolhimento das amostras para Nitrogênio </w:t>
      </w:r>
      <w:proofErr w:type="spellStart"/>
      <w:r w:rsidRPr="0023075A">
        <w:rPr>
          <w:rFonts w:ascii="Arial" w:hAnsi="Arial" w:cs="Arial"/>
        </w:rPr>
        <w:t>Kjeldahl</w:t>
      </w:r>
      <w:proofErr w:type="spellEnd"/>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A coleta será realizada pelo Técnico Responsável pelo laboratório de controle de processo da ETE B. </w:t>
      </w:r>
      <w:proofErr w:type="spellStart"/>
      <w:r w:rsidRPr="0023075A">
        <w:rPr>
          <w:rFonts w:ascii="Arial" w:hAnsi="Arial" w:cs="Arial"/>
        </w:rPr>
        <w:t>Lage</w:t>
      </w:r>
      <w:proofErr w:type="spellEnd"/>
      <w:r w:rsidRPr="0023075A">
        <w:rPr>
          <w:rFonts w:ascii="Arial" w:hAnsi="Arial" w:cs="Arial"/>
        </w:rPr>
        <w:t>. O laboratório contratado será responsável em buscar as amostras coletadas na referida ETE em um prazo máximo de três horas após contato telefônico.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Para realização da análise físico-química quantitativa para determinação do parâmetro Nitrogênio </w:t>
      </w:r>
      <w:proofErr w:type="spellStart"/>
      <w:r w:rsidRPr="0023075A">
        <w:rPr>
          <w:rFonts w:ascii="Arial" w:hAnsi="Arial" w:cs="Arial"/>
        </w:rPr>
        <w:t>Kjeldahl</w:t>
      </w:r>
      <w:proofErr w:type="spellEnd"/>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A coleta será feita em dois pontos: entrada e saída da referida ETE.</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semanal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48 (quarenta e oito)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96 (noventa e seis) análises.</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Prazo máximo para entrega do relatório após a coleta: Até 20 dias úteis.</w:t>
      </w:r>
    </w:p>
    <w:p w:rsidR="00F349E6" w:rsidRPr="0023075A" w:rsidRDefault="00802CB9">
      <w:pPr>
        <w:pStyle w:val="Standard"/>
        <w:tabs>
          <w:tab w:val="left" w:pos="945"/>
          <w:tab w:val="left" w:pos="1365"/>
          <w:tab w:val="left" w:pos="1515"/>
        </w:tabs>
        <w:suppressAutoHyphens/>
        <w:spacing w:after="240" w:line="360" w:lineRule="auto"/>
        <w:ind w:left="720"/>
        <w:jc w:val="both"/>
        <w:rPr>
          <w:rFonts w:ascii="Arial" w:hAnsi="Arial" w:cs="Arial"/>
        </w:rPr>
      </w:pPr>
      <w:proofErr w:type="spellStart"/>
      <w:r w:rsidRPr="0023075A">
        <w:rPr>
          <w:rFonts w:ascii="Arial" w:hAnsi="Arial" w:cs="Arial"/>
        </w:rPr>
        <w:t>Obs</w:t>
      </w:r>
      <w:proofErr w:type="spellEnd"/>
      <w:r w:rsidRPr="0023075A">
        <w:rPr>
          <w:rFonts w:ascii="Arial" w:hAnsi="Arial" w:cs="Arial"/>
        </w:rPr>
        <w:t>: 1) Será disponibilizado previamente pelo departamento competente um cronograma bimestral dos dias de coleta para que haja programação do laboratório contratado no recolhimento das amostras coletadas.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
      </w:r>
      <w:proofErr w:type="gramStart"/>
      <w:r w:rsidRPr="0023075A">
        <w:rPr>
          <w:rFonts w:ascii="Arial" w:hAnsi="Arial" w:cs="Arial"/>
        </w:rPr>
        <w:t>2)</w:t>
      </w:r>
      <w:proofErr w:type="gramEnd"/>
      <w:r w:rsidRPr="0023075A">
        <w:rPr>
          <w:rFonts w:ascii="Arial" w:hAnsi="Arial" w:cs="Arial"/>
        </w:rPr>
        <w:t xml:space="preserve"> Metodologia: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ABNT NBR/ISO IEC 17025:2005 - Requisitos Gerais para Competência de Laboratório.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ABNT NBR 9898:1987 - Preservação e Técnica de amostragem de Efluentes Líquidos e Corpos Receptores – Procedimento.</w:t>
      </w:r>
    </w:p>
    <w:p w:rsidR="00F349E6" w:rsidRPr="0023075A" w:rsidRDefault="00802CB9">
      <w:pPr>
        <w:pStyle w:val="Standard"/>
        <w:suppressAutoHyphens/>
        <w:spacing w:after="240" w:line="360" w:lineRule="auto"/>
        <w:jc w:val="both"/>
        <w:rPr>
          <w:rFonts w:ascii="Arial" w:hAnsi="Arial" w:cs="Arial"/>
          <w:lang w:val="en-US"/>
        </w:rPr>
      </w:pPr>
      <w:proofErr w:type="spellStart"/>
      <w:proofErr w:type="gramStart"/>
      <w:r w:rsidRPr="0023075A">
        <w:rPr>
          <w:rFonts w:ascii="Arial" w:hAnsi="Arial" w:cs="Arial"/>
          <w:lang w:val="en-US"/>
        </w:rPr>
        <w:t>Standart</w:t>
      </w:r>
      <w:proofErr w:type="spellEnd"/>
      <w:r w:rsidRPr="0023075A">
        <w:rPr>
          <w:rFonts w:ascii="Arial" w:hAnsi="Arial" w:cs="Arial"/>
          <w:lang w:val="en-US"/>
        </w:rPr>
        <w:t xml:space="preserve">  Methods</w:t>
      </w:r>
      <w:proofErr w:type="gramEnd"/>
      <w:r w:rsidRPr="0023075A">
        <w:rPr>
          <w:rFonts w:ascii="Arial" w:hAnsi="Arial" w:cs="Arial"/>
          <w:lang w:val="en-US"/>
        </w:rPr>
        <w:t xml:space="preserve"> for Examination of Water and Wastewater – 22ª edition/2012</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Legislação aplicável: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DN COPAM/CONAMA CERH-MG nº 01/2008</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lastRenderedPageBreak/>
        <w:t>4.7)</w:t>
      </w:r>
      <w:proofErr w:type="gramEnd"/>
      <w:r w:rsidRPr="0023075A">
        <w:rPr>
          <w:rFonts w:ascii="Arial" w:hAnsi="Arial" w:cs="Arial"/>
        </w:rPr>
        <w:t xml:space="preserve"> ETE da ETA Marechal Castelo Branco (bimestral)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A coleta simples será </w:t>
      </w:r>
      <w:proofErr w:type="gramStart"/>
      <w:r w:rsidRPr="0023075A">
        <w:rPr>
          <w:rFonts w:ascii="Arial" w:hAnsi="Arial" w:cs="Arial"/>
        </w:rPr>
        <w:t>realizada na ETE da ETA Marechal Castelo Branco</w:t>
      </w:r>
      <w:proofErr w:type="gramEnd"/>
      <w:r w:rsidRPr="0023075A">
        <w:rPr>
          <w:rFonts w:ascii="Arial" w:hAnsi="Arial" w:cs="Arial"/>
        </w:rPr>
        <w:t>.</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Para realização das análises físico-químicas quantitativas para determinação dos parâmetros: ph, temperatura, e sólidos em suspensão, Sólidos </w:t>
      </w:r>
      <w:proofErr w:type="gramStart"/>
      <w:r w:rsidRPr="0023075A">
        <w:rPr>
          <w:rFonts w:ascii="Arial" w:hAnsi="Arial" w:cs="Arial"/>
        </w:rPr>
        <w:t>Sedimentáveis</w:t>
      </w:r>
      <w:proofErr w:type="gramEnd"/>
      <w:r w:rsidRPr="0023075A">
        <w:rPr>
          <w:rFonts w:ascii="Arial" w:hAnsi="Arial" w:cs="Arial"/>
        </w:rPr>
        <w:t>. DBO, DQO e óleos e Graxas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Será realizada em dois pontos: entrada e saída da referida ETE.</w:t>
      </w:r>
    </w:p>
    <w:p w:rsidR="00F349E6" w:rsidRPr="0023075A" w:rsidRDefault="00802CB9">
      <w:pPr>
        <w:pStyle w:val="Standard"/>
        <w:suppressAutoHyphens/>
        <w:spacing w:after="240" w:line="360" w:lineRule="auto"/>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Total de campanhas: 06 (seis)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4.8)</w:t>
      </w:r>
      <w:proofErr w:type="gramEnd"/>
      <w:r w:rsidRPr="0023075A">
        <w:rPr>
          <w:rFonts w:ascii="Arial" w:hAnsi="Arial" w:cs="Arial"/>
        </w:rPr>
        <w:t xml:space="preserve"> Corpo Hídrico – Represa Dr. João </w:t>
      </w:r>
      <w:proofErr w:type="spellStart"/>
      <w:r w:rsidRPr="0023075A">
        <w:rPr>
          <w:rFonts w:ascii="Arial" w:hAnsi="Arial" w:cs="Arial"/>
        </w:rPr>
        <w:t>Penido</w:t>
      </w:r>
      <w:proofErr w:type="spellEnd"/>
      <w:r w:rsidRPr="0023075A">
        <w:rPr>
          <w:rFonts w:ascii="Arial" w:hAnsi="Arial" w:cs="Arial"/>
        </w:rPr>
        <w:t>: pontos 01, 02, 03 (bimestral)</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4.8.1)</w:t>
      </w:r>
      <w:proofErr w:type="gramEnd"/>
      <w:r w:rsidRPr="0023075A">
        <w:rPr>
          <w:rFonts w:ascii="Arial" w:hAnsi="Arial" w:cs="Arial"/>
        </w:rPr>
        <w:t xml:space="preserve"> A coleta simples deverá ser realizada no ponto 01.</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realização das análises físico-químicas quantitativas para determinação dos parâmetros: Ph, SST, E. </w:t>
      </w:r>
      <w:proofErr w:type="spellStart"/>
      <w:r w:rsidRPr="0023075A">
        <w:rPr>
          <w:rFonts w:ascii="Arial" w:hAnsi="Arial" w:cs="Arial"/>
        </w:rPr>
        <w:t>Coli</w:t>
      </w:r>
      <w:proofErr w:type="spellEnd"/>
      <w:r w:rsidRPr="0023075A">
        <w:rPr>
          <w:rFonts w:ascii="Arial" w:hAnsi="Arial" w:cs="Arial"/>
        </w:rPr>
        <w:t xml:space="preserve">, DBO, DQO, </w:t>
      </w:r>
      <w:proofErr w:type="spellStart"/>
      <w:r w:rsidRPr="0023075A">
        <w:rPr>
          <w:rFonts w:ascii="Arial" w:hAnsi="Arial" w:cs="Arial"/>
        </w:rPr>
        <w:t>Oxígênio</w:t>
      </w:r>
      <w:proofErr w:type="spellEnd"/>
      <w:r w:rsidRPr="0023075A">
        <w:rPr>
          <w:rFonts w:ascii="Arial" w:hAnsi="Arial" w:cs="Arial"/>
        </w:rPr>
        <w:t xml:space="preserve"> Dissolvido, </w:t>
      </w:r>
      <w:proofErr w:type="spellStart"/>
      <w:r w:rsidRPr="0023075A">
        <w:rPr>
          <w:rFonts w:ascii="Arial" w:hAnsi="Arial" w:cs="Arial"/>
        </w:rPr>
        <w:t>Turbidez</w:t>
      </w:r>
      <w:proofErr w:type="spellEnd"/>
      <w:r w:rsidRPr="0023075A">
        <w:rPr>
          <w:rFonts w:ascii="Arial" w:hAnsi="Arial" w:cs="Arial"/>
        </w:rPr>
        <w:t>, Cor e Odor (sulfeto)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06 (seis)</w:t>
      </w:r>
    </w:p>
    <w:p w:rsidR="00F349E6" w:rsidRPr="0023075A" w:rsidRDefault="00F349E6">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4.8.2)</w:t>
      </w:r>
      <w:proofErr w:type="gramEnd"/>
      <w:r w:rsidRPr="0023075A">
        <w:rPr>
          <w:rFonts w:ascii="Arial" w:hAnsi="Arial" w:cs="Arial"/>
        </w:rPr>
        <w:t xml:space="preserve"> A coleta simples deverá ser realizada no ponto 02.</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realização das análises físico-químicas quantitativas para determinação dos parâmetros ph, SST, E. </w:t>
      </w:r>
      <w:proofErr w:type="spellStart"/>
      <w:r w:rsidRPr="0023075A">
        <w:rPr>
          <w:rFonts w:ascii="Arial" w:hAnsi="Arial" w:cs="Arial"/>
        </w:rPr>
        <w:t>Coli</w:t>
      </w:r>
      <w:proofErr w:type="spellEnd"/>
      <w:r w:rsidRPr="0023075A">
        <w:rPr>
          <w:rFonts w:ascii="Arial" w:hAnsi="Arial" w:cs="Arial"/>
        </w:rPr>
        <w:t xml:space="preserve">, DBO, DQO, </w:t>
      </w:r>
      <w:proofErr w:type="spellStart"/>
      <w:r w:rsidRPr="0023075A">
        <w:rPr>
          <w:rFonts w:ascii="Arial" w:hAnsi="Arial" w:cs="Arial"/>
        </w:rPr>
        <w:t>Oxígênio</w:t>
      </w:r>
      <w:proofErr w:type="spellEnd"/>
      <w:r w:rsidRPr="0023075A">
        <w:rPr>
          <w:rFonts w:ascii="Arial" w:hAnsi="Arial" w:cs="Arial"/>
        </w:rPr>
        <w:t xml:space="preserve"> Dissolvido, </w:t>
      </w:r>
      <w:proofErr w:type="spellStart"/>
      <w:r w:rsidRPr="0023075A">
        <w:rPr>
          <w:rFonts w:ascii="Arial" w:hAnsi="Arial" w:cs="Arial"/>
        </w:rPr>
        <w:t>Turbidez</w:t>
      </w:r>
      <w:proofErr w:type="spellEnd"/>
      <w:r w:rsidRPr="0023075A">
        <w:rPr>
          <w:rFonts w:ascii="Arial" w:hAnsi="Arial" w:cs="Arial"/>
        </w:rPr>
        <w:t>, Cor e Odor (sulfeto).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06 (seis)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4.8.3)</w:t>
      </w:r>
      <w:proofErr w:type="gramEnd"/>
      <w:r w:rsidRPr="0023075A">
        <w:rPr>
          <w:rFonts w:ascii="Arial" w:hAnsi="Arial" w:cs="Arial"/>
        </w:rPr>
        <w:t xml:space="preserve"> A coleta simples deverá ser realizada no ponto 03.</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lastRenderedPageBreak/>
        <w:t xml:space="preserve">Para realização das análises físico-químicas quantitativas para determinação dos parâmetros ph, SST, E. </w:t>
      </w:r>
      <w:proofErr w:type="spellStart"/>
      <w:r w:rsidRPr="0023075A">
        <w:rPr>
          <w:rFonts w:ascii="Arial" w:hAnsi="Arial" w:cs="Arial"/>
        </w:rPr>
        <w:t>Coli</w:t>
      </w:r>
      <w:proofErr w:type="spellEnd"/>
      <w:r w:rsidRPr="0023075A">
        <w:rPr>
          <w:rFonts w:ascii="Arial" w:hAnsi="Arial" w:cs="Arial"/>
        </w:rPr>
        <w:t xml:space="preserve">, DBO, DQO, </w:t>
      </w:r>
      <w:proofErr w:type="spellStart"/>
      <w:r w:rsidRPr="0023075A">
        <w:rPr>
          <w:rFonts w:ascii="Arial" w:hAnsi="Arial" w:cs="Arial"/>
        </w:rPr>
        <w:t>Oxígênio</w:t>
      </w:r>
      <w:proofErr w:type="spellEnd"/>
      <w:r w:rsidRPr="0023075A">
        <w:rPr>
          <w:rFonts w:ascii="Arial" w:hAnsi="Arial" w:cs="Arial"/>
        </w:rPr>
        <w:t xml:space="preserve"> Dissolvido, </w:t>
      </w:r>
      <w:proofErr w:type="spellStart"/>
      <w:r w:rsidRPr="0023075A">
        <w:rPr>
          <w:rFonts w:ascii="Arial" w:hAnsi="Arial" w:cs="Arial"/>
        </w:rPr>
        <w:t>Turbidez</w:t>
      </w:r>
      <w:proofErr w:type="spellEnd"/>
      <w:r w:rsidRPr="0023075A">
        <w:rPr>
          <w:rFonts w:ascii="Arial" w:hAnsi="Arial" w:cs="Arial"/>
        </w:rPr>
        <w:t>, Cor e Odor (sulfeto).</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bimestral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06 (seis)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4.9)</w:t>
      </w:r>
      <w:proofErr w:type="gramEnd"/>
      <w:r w:rsidRPr="0023075A">
        <w:rPr>
          <w:rFonts w:ascii="Arial" w:hAnsi="Arial" w:cs="Arial"/>
        </w:rPr>
        <w:t xml:space="preserve"> Corpo Hídrico – Represa Dr. João </w:t>
      </w:r>
      <w:proofErr w:type="spellStart"/>
      <w:r w:rsidRPr="0023075A">
        <w:rPr>
          <w:rFonts w:ascii="Arial" w:hAnsi="Arial" w:cs="Arial"/>
        </w:rPr>
        <w:t>Penido</w:t>
      </w:r>
      <w:proofErr w:type="spellEnd"/>
      <w:r w:rsidRPr="0023075A">
        <w:rPr>
          <w:rFonts w:ascii="Arial" w:hAnsi="Arial" w:cs="Arial"/>
        </w:rPr>
        <w:t>: pontos 01, 02, 03 (semestral)</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4.9.1)</w:t>
      </w:r>
      <w:proofErr w:type="gramEnd"/>
      <w:r w:rsidRPr="0023075A">
        <w:rPr>
          <w:rFonts w:ascii="Arial" w:hAnsi="Arial" w:cs="Arial"/>
        </w:rPr>
        <w:t xml:space="preserve"> A coleta simples deverá ser realizada no ponto 01</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Para realização das análises físico-químicas quantitativas para determinação dos parâmetros: Fósforo Total, Nitrato, Nitrogênio Amoniacal Total, Óleos e Graxas, Clorofila a e Cloreto Total.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02 (duas)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4.9.2)</w:t>
      </w:r>
      <w:proofErr w:type="gramEnd"/>
      <w:r w:rsidRPr="0023075A">
        <w:rPr>
          <w:rFonts w:ascii="Arial" w:hAnsi="Arial" w:cs="Arial"/>
        </w:rPr>
        <w:t xml:space="preserve"> A coleta simples deverá ser realizada no ponto 02</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Para realização das análises físico-químicas quantitativas para determinação dos parâmetros: Fósforo Total, Nitrato, Nitrogênio Amoniacal Total, Óleos e Graxas e Clorofila a e Cloreto Total.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02 (duas)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4.9.3)</w:t>
      </w:r>
      <w:proofErr w:type="gramEnd"/>
      <w:r w:rsidRPr="0023075A">
        <w:rPr>
          <w:rFonts w:ascii="Arial" w:hAnsi="Arial" w:cs="Arial"/>
        </w:rPr>
        <w:t xml:space="preserve"> A coleta simples deverá ser realizada no ponto 03</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 xml:space="preserve">Para realização das análises físico-químicas quantitativas para determinação dos parâmetros: Fósforo Total, Nitrato, Nitrogênio Amoniacal Total, Óleos e </w:t>
      </w:r>
      <w:proofErr w:type="gramStart"/>
      <w:r w:rsidRPr="0023075A">
        <w:rPr>
          <w:rFonts w:ascii="Arial" w:hAnsi="Arial" w:cs="Arial"/>
        </w:rPr>
        <w:t>Graxas ,</w:t>
      </w:r>
      <w:proofErr w:type="gramEnd"/>
      <w:r w:rsidRPr="0023075A">
        <w:rPr>
          <w:rFonts w:ascii="Arial" w:hAnsi="Arial" w:cs="Arial"/>
        </w:rPr>
        <w:t xml:space="preserve"> Clorofila e Cloreto Total.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proofErr w:type="spellStart"/>
      <w:r w:rsidRPr="0023075A">
        <w:rPr>
          <w:rFonts w:ascii="Arial" w:hAnsi="Arial" w:cs="Arial"/>
        </w:rPr>
        <w:t>Frequência</w:t>
      </w:r>
      <w:proofErr w:type="spellEnd"/>
      <w:r w:rsidRPr="0023075A">
        <w:rPr>
          <w:rFonts w:ascii="Arial" w:hAnsi="Arial" w:cs="Arial"/>
        </w:rPr>
        <w:t>: semestral</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Total de campanhas: 02 (duas)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lastRenderedPageBreak/>
        <w:t xml:space="preserve">OBS: </w:t>
      </w:r>
      <w:proofErr w:type="gramStart"/>
      <w:r w:rsidRPr="0023075A">
        <w:rPr>
          <w:rFonts w:ascii="Arial" w:hAnsi="Arial" w:cs="Arial"/>
        </w:rPr>
        <w:tab/>
        <w:t>1)</w:t>
      </w:r>
      <w:proofErr w:type="gramEnd"/>
      <w:r w:rsidRPr="0023075A">
        <w:rPr>
          <w:rFonts w:ascii="Arial" w:hAnsi="Arial" w:cs="Arial"/>
        </w:rPr>
        <w:t xml:space="preserve"> A data das coletas para as referidas análises bimestrais e semestrais será de acordo com o cronograma e solicitação pelo departamento competente através de e-mail.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
      </w:r>
      <w:proofErr w:type="gramStart"/>
      <w:r w:rsidRPr="0023075A">
        <w:rPr>
          <w:rFonts w:ascii="Arial" w:hAnsi="Arial" w:cs="Arial"/>
        </w:rPr>
        <w:t>2)</w:t>
      </w:r>
      <w:proofErr w:type="gramEnd"/>
      <w:r w:rsidRPr="0023075A">
        <w:rPr>
          <w:rFonts w:ascii="Arial" w:hAnsi="Arial" w:cs="Arial"/>
        </w:rPr>
        <w:t xml:space="preserve"> Prazo máximo para entrega do relatório após a coleta: Até 15 dias úteis.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
      </w:r>
      <w:proofErr w:type="gramStart"/>
      <w:r w:rsidRPr="0023075A">
        <w:rPr>
          <w:rFonts w:ascii="Arial" w:hAnsi="Arial" w:cs="Arial"/>
        </w:rPr>
        <w:t>3)</w:t>
      </w:r>
      <w:proofErr w:type="gramEnd"/>
      <w:r w:rsidRPr="0023075A">
        <w:rPr>
          <w:rFonts w:ascii="Arial" w:hAnsi="Arial" w:cs="Arial"/>
        </w:rPr>
        <w:t xml:space="preserve"> Os parâmetros a serem analisados, serão solicitados pelo DETA com prazo de 10 dias para as coletas dentro do escopo.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
      </w:r>
      <w:proofErr w:type="gramStart"/>
      <w:r w:rsidRPr="0023075A">
        <w:rPr>
          <w:rFonts w:ascii="Arial" w:hAnsi="Arial" w:cs="Arial"/>
        </w:rPr>
        <w:t>4)</w:t>
      </w:r>
      <w:proofErr w:type="gramEnd"/>
      <w:r w:rsidRPr="0023075A">
        <w:rPr>
          <w:rFonts w:ascii="Arial" w:hAnsi="Arial" w:cs="Arial"/>
        </w:rPr>
        <w:t>Metodologia: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ABNT NBR/ISO IEC 17025:2005 – Requisitos Gerais para Competência de Laboratório.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ABNT NBR 9898:1987 - Preservação e Técnica de amostragem de Efluentes Líquidos e Corpos Receptores – Procedimento.</w:t>
      </w:r>
    </w:p>
    <w:p w:rsidR="00F349E6" w:rsidRPr="0023075A" w:rsidRDefault="00802CB9">
      <w:pPr>
        <w:pStyle w:val="Standard"/>
        <w:suppressAutoHyphens/>
        <w:spacing w:after="240" w:line="360" w:lineRule="auto"/>
        <w:jc w:val="both"/>
        <w:rPr>
          <w:rFonts w:ascii="Arial" w:hAnsi="Arial" w:cs="Arial"/>
          <w:lang w:val="en-US"/>
        </w:rPr>
      </w:pPr>
      <w:proofErr w:type="spellStart"/>
      <w:r w:rsidRPr="0023075A">
        <w:rPr>
          <w:rFonts w:ascii="Arial" w:hAnsi="Arial" w:cs="Arial"/>
          <w:lang w:val="en-US"/>
        </w:rPr>
        <w:t>Standart</w:t>
      </w:r>
      <w:proofErr w:type="spellEnd"/>
      <w:r w:rsidRPr="0023075A">
        <w:rPr>
          <w:rFonts w:ascii="Arial" w:hAnsi="Arial" w:cs="Arial"/>
          <w:lang w:val="en-US"/>
        </w:rPr>
        <w:t xml:space="preserve"> Methods for Examination of Water and Wastewater – 22ª edition/2012.</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Legislação aplicável: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DN COPAM/CONAMA CERH-MG nº 01/2008.</w:t>
      </w:r>
    </w:p>
    <w:p w:rsidR="00F349E6" w:rsidRPr="0023075A" w:rsidRDefault="00802CB9">
      <w:pPr>
        <w:pStyle w:val="Standard"/>
        <w:suppressAutoHyphens/>
        <w:spacing w:after="240" w:line="360" w:lineRule="auto"/>
        <w:jc w:val="both"/>
        <w:rPr>
          <w:rFonts w:ascii="Arial" w:hAnsi="Arial" w:cs="Arial"/>
          <w:b/>
        </w:rPr>
      </w:pPr>
      <w:r w:rsidRPr="0023075A">
        <w:rPr>
          <w:rFonts w:ascii="Arial" w:hAnsi="Arial" w:cs="Arial"/>
          <w:b/>
        </w:rPr>
        <w:t>5. VALORES MÁXIMOS ACEITÁVEIS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5.1. Os valores para a aquisição foram apurados através de pesquisa de mercado, conforme informações constantes no processo licitatório</w:t>
      </w:r>
      <w:r w:rsidR="00530F6F" w:rsidRPr="0023075A">
        <w:rPr>
          <w:rFonts w:ascii="Arial" w:hAnsi="Arial" w:cs="Arial"/>
        </w:rPr>
        <w:t xml:space="preserve"> e planilha orçamentária em anexo</w:t>
      </w:r>
      <w:r w:rsidRPr="0023075A">
        <w:rPr>
          <w:rFonts w:ascii="Arial" w:hAnsi="Arial" w:cs="Arial"/>
        </w:rPr>
        <w:t>.</w:t>
      </w:r>
    </w:p>
    <w:tbl>
      <w:tblPr>
        <w:tblW w:w="9308" w:type="dxa"/>
        <w:jc w:val="center"/>
        <w:tblLayout w:type="fixed"/>
        <w:tblCellMar>
          <w:left w:w="10" w:type="dxa"/>
          <w:right w:w="10" w:type="dxa"/>
        </w:tblCellMar>
        <w:tblLook w:val="0000"/>
      </w:tblPr>
      <w:tblGrid>
        <w:gridCol w:w="704"/>
        <w:gridCol w:w="3271"/>
        <w:gridCol w:w="1394"/>
        <w:gridCol w:w="2000"/>
        <w:gridCol w:w="1939"/>
      </w:tblGrid>
      <w:tr w:rsidR="00F349E6" w:rsidRPr="0023075A">
        <w:trPr>
          <w:trHeight w:val="510"/>
          <w:jc w:val="center"/>
        </w:trPr>
        <w:tc>
          <w:tcPr>
            <w:tcW w:w="704" w:type="dxa"/>
            <w:tcBorders>
              <w:top w:val="single" w:sz="2" w:space="0" w:color="000001"/>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ITEM</w:t>
            </w:r>
          </w:p>
        </w:tc>
        <w:tc>
          <w:tcPr>
            <w:tcW w:w="3271" w:type="dxa"/>
            <w:tcBorders>
              <w:top w:val="single" w:sz="2" w:space="0" w:color="000001"/>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Descrição do material</w:t>
            </w:r>
          </w:p>
        </w:tc>
        <w:tc>
          <w:tcPr>
            <w:tcW w:w="1394" w:type="dxa"/>
            <w:tcBorders>
              <w:top w:val="single" w:sz="2" w:space="0" w:color="000001"/>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Quant.</w:t>
            </w:r>
          </w:p>
        </w:tc>
        <w:tc>
          <w:tcPr>
            <w:tcW w:w="2000" w:type="dxa"/>
            <w:tcBorders>
              <w:top w:val="single" w:sz="2" w:space="0" w:color="000001"/>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Média Unitária</w:t>
            </w:r>
          </w:p>
        </w:tc>
        <w:tc>
          <w:tcPr>
            <w:tcW w:w="1939" w:type="dxa"/>
            <w:tcBorders>
              <w:top w:val="single" w:sz="2" w:space="0" w:color="000001"/>
              <w:left w:val="single" w:sz="2" w:space="0" w:color="000001"/>
              <w:bottom w:val="single" w:sz="2" w:space="0" w:color="000001"/>
              <w:right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Média Total</w:t>
            </w:r>
          </w:p>
        </w:tc>
      </w:tr>
      <w:tr w:rsidR="00F349E6" w:rsidRPr="0023075A">
        <w:trPr>
          <w:trHeight w:val="510"/>
          <w:jc w:val="center"/>
        </w:trPr>
        <w:tc>
          <w:tcPr>
            <w:tcW w:w="704" w:type="dxa"/>
            <w:tcBorders>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1</w:t>
            </w:r>
          </w:p>
        </w:tc>
        <w:tc>
          <w:tcPr>
            <w:tcW w:w="3271" w:type="dxa"/>
            <w:tcBorders>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SERVIÇO DE COLETA E ANÁLISES LABORATORIAIS</w:t>
            </w:r>
          </w:p>
        </w:tc>
        <w:tc>
          <w:tcPr>
            <w:tcW w:w="1394" w:type="dxa"/>
            <w:tcBorders>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1</w:t>
            </w:r>
          </w:p>
        </w:tc>
        <w:tc>
          <w:tcPr>
            <w:tcW w:w="2000" w:type="dxa"/>
            <w:tcBorders>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 xml:space="preserve">R$ </w:t>
            </w:r>
            <w:r w:rsidR="00AA7FEC" w:rsidRPr="0023075A">
              <w:rPr>
                <w:rFonts w:ascii="Arial" w:hAnsi="Arial" w:cs="Arial"/>
              </w:rPr>
              <w:t>49.881,44</w:t>
            </w:r>
          </w:p>
        </w:tc>
        <w:tc>
          <w:tcPr>
            <w:tcW w:w="1939" w:type="dxa"/>
            <w:tcBorders>
              <w:left w:val="single" w:sz="2" w:space="0" w:color="000001"/>
              <w:bottom w:val="single" w:sz="2" w:space="0" w:color="000001"/>
              <w:right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 xml:space="preserve">R$ </w:t>
            </w:r>
            <w:r w:rsidR="00AA7FEC" w:rsidRPr="0023075A">
              <w:rPr>
                <w:rFonts w:ascii="Arial" w:hAnsi="Arial" w:cs="Arial"/>
              </w:rPr>
              <w:t>49.881,44</w:t>
            </w:r>
          </w:p>
        </w:tc>
      </w:tr>
      <w:tr w:rsidR="00F349E6" w:rsidRPr="0023075A">
        <w:trPr>
          <w:trHeight w:val="510"/>
          <w:jc w:val="center"/>
        </w:trPr>
        <w:tc>
          <w:tcPr>
            <w:tcW w:w="7369" w:type="dxa"/>
            <w:gridSpan w:val="4"/>
            <w:tcBorders>
              <w:top w:val="single" w:sz="2" w:space="0" w:color="000001"/>
              <w:left w:val="single" w:sz="2" w:space="0" w:color="000001"/>
              <w:bottom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Total</w:t>
            </w:r>
          </w:p>
        </w:tc>
        <w:tc>
          <w:tcPr>
            <w:tcW w:w="1939" w:type="dxa"/>
            <w:tcBorders>
              <w:left w:val="single" w:sz="2" w:space="0" w:color="000001"/>
              <w:bottom w:val="single" w:sz="2" w:space="0" w:color="000001"/>
              <w:right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 xml:space="preserve">R$ </w:t>
            </w:r>
            <w:r w:rsidR="00AA7FEC" w:rsidRPr="0023075A">
              <w:rPr>
                <w:rFonts w:ascii="Arial" w:hAnsi="Arial" w:cs="Arial"/>
              </w:rPr>
              <w:t>49.881,44</w:t>
            </w:r>
          </w:p>
        </w:tc>
      </w:tr>
      <w:tr w:rsidR="00F349E6" w:rsidRPr="0023075A">
        <w:trPr>
          <w:trHeight w:val="907"/>
          <w:jc w:val="center"/>
        </w:trPr>
        <w:tc>
          <w:tcPr>
            <w:tcW w:w="9308" w:type="dxa"/>
            <w:gridSpan w:val="5"/>
            <w:tcBorders>
              <w:top w:val="single" w:sz="2" w:space="0" w:color="000001"/>
              <w:left w:val="single" w:sz="2" w:space="0" w:color="000001"/>
              <w:bottom w:val="single" w:sz="2" w:space="0" w:color="000001"/>
              <w:right w:val="single" w:sz="2" w:space="0" w:color="000001"/>
            </w:tcBorders>
            <w:tcMar>
              <w:top w:w="0" w:type="dxa"/>
              <w:left w:w="0" w:type="dxa"/>
              <w:bottom w:w="0" w:type="dxa"/>
              <w:right w:w="0" w:type="dxa"/>
            </w:tcMar>
            <w:vAlign w:val="center"/>
          </w:tcPr>
          <w:p w:rsidR="00F349E6" w:rsidRPr="0023075A" w:rsidRDefault="00802CB9">
            <w:pPr>
              <w:pStyle w:val="Standard"/>
              <w:suppressAutoHyphens/>
              <w:spacing w:line="240" w:lineRule="auto"/>
              <w:ind w:left="720"/>
              <w:jc w:val="center"/>
              <w:rPr>
                <w:rFonts w:ascii="Arial" w:hAnsi="Arial" w:cs="Arial"/>
              </w:rPr>
            </w:pPr>
            <w:r w:rsidRPr="0023075A">
              <w:rPr>
                <w:rFonts w:ascii="Arial" w:hAnsi="Arial" w:cs="Arial"/>
              </w:rPr>
              <w:t>Pesquisa feita direta com fornecedores conforme artigo 17 do RILC, para a requisição de compra, o preço de referência foi obtido através da média entre os valores considerados válidos.</w:t>
            </w:r>
          </w:p>
        </w:tc>
      </w:tr>
    </w:tbl>
    <w:p w:rsidR="00F349E6" w:rsidRPr="0023075A" w:rsidRDefault="00F349E6">
      <w:pPr>
        <w:pStyle w:val="Standard"/>
        <w:spacing w:after="240" w:line="360" w:lineRule="auto"/>
        <w:ind w:left="720"/>
        <w:jc w:val="both"/>
        <w:rPr>
          <w:rFonts w:ascii="Arial" w:hAnsi="Arial" w:cs="Arial"/>
        </w:rPr>
      </w:pPr>
    </w:p>
    <w:p w:rsidR="00F349E6" w:rsidRPr="0023075A" w:rsidRDefault="00802CB9" w:rsidP="009E21A3">
      <w:pPr>
        <w:pStyle w:val="Standard"/>
        <w:spacing w:after="240" w:line="360" w:lineRule="auto"/>
        <w:jc w:val="both"/>
        <w:rPr>
          <w:rFonts w:ascii="Arial" w:hAnsi="Arial" w:cs="Arial"/>
          <w:b/>
        </w:rPr>
      </w:pPr>
      <w:r w:rsidRPr="0023075A">
        <w:rPr>
          <w:rFonts w:ascii="Arial" w:hAnsi="Arial" w:cs="Arial"/>
          <w:b/>
        </w:rPr>
        <w:lastRenderedPageBreak/>
        <w:t>6. CONDIÇÕES DE EXECUÇÃO DO SERVIÇO</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6.1. Após assinatura do Contrato, a contratada apresentará o cronograma de realização das análises com a previsão das datas de realização para aprovação do gestor.</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 xml:space="preserve">6.2. A Contratada apresentará relatório </w:t>
      </w:r>
      <w:proofErr w:type="gramStart"/>
      <w:r w:rsidRPr="0023075A">
        <w:rPr>
          <w:rFonts w:ascii="Arial" w:hAnsi="Arial" w:cs="Arial"/>
        </w:rPr>
        <w:t>resumido das análises anexos aos laudos</w:t>
      </w:r>
      <w:r w:rsidR="000E77FF" w:rsidRPr="0023075A">
        <w:rPr>
          <w:rFonts w:ascii="Arial" w:hAnsi="Arial" w:cs="Arial"/>
        </w:rPr>
        <w:t xml:space="preserve"> </w:t>
      </w:r>
      <w:r w:rsidRPr="0023075A">
        <w:rPr>
          <w:rFonts w:ascii="Arial" w:hAnsi="Arial" w:cs="Arial"/>
        </w:rPr>
        <w:t>das análises realizadas no período, enviando cópia física dos mesmos, junto à NF para conferência</w:t>
      </w:r>
      <w:proofErr w:type="gramEnd"/>
      <w:r w:rsidRPr="0023075A">
        <w:rPr>
          <w:rFonts w:ascii="Arial" w:hAnsi="Arial" w:cs="Arial"/>
        </w:rPr>
        <w:t>.</w:t>
      </w:r>
    </w:p>
    <w:p w:rsidR="00F349E6" w:rsidRPr="0023075A" w:rsidRDefault="00802CB9" w:rsidP="009E21A3">
      <w:pPr>
        <w:pStyle w:val="Standard"/>
        <w:suppressAutoHyphens/>
        <w:spacing w:after="240" w:line="360" w:lineRule="auto"/>
        <w:jc w:val="both"/>
        <w:rPr>
          <w:rFonts w:ascii="Arial" w:hAnsi="Arial" w:cs="Arial"/>
          <w:b/>
        </w:rPr>
      </w:pPr>
      <w:r w:rsidRPr="0023075A">
        <w:rPr>
          <w:rFonts w:ascii="Arial" w:hAnsi="Arial" w:cs="Arial"/>
          <w:b/>
        </w:rPr>
        <w:t>7. ENTREGA E CONDIÇÕES DE FORNECIMENTO</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7.1 Os documentos citados no item 6.2, junto às certidões comprobatórias da regularidade fiscal da contratada deverão ser entregues na Rua Monsenhor Gustavo, 75, na sala do DETE no horário comercial.</w:t>
      </w:r>
    </w:p>
    <w:p w:rsidR="00F349E6" w:rsidRPr="0023075A" w:rsidRDefault="00802CB9" w:rsidP="009E21A3">
      <w:pPr>
        <w:pStyle w:val="Standard"/>
        <w:suppressAutoHyphens/>
        <w:spacing w:after="240" w:line="360" w:lineRule="auto"/>
        <w:jc w:val="both"/>
        <w:rPr>
          <w:rFonts w:ascii="Arial" w:hAnsi="Arial" w:cs="Arial"/>
          <w:b/>
        </w:rPr>
      </w:pPr>
      <w:r w:rsidRPr="0023075A">
        <w:rPr>
          <w:rFonts w:ascii="Arial" w:hAnsi="Arial" w:cs="Arial"/>
          <w:b/>
        </w:rPr>
        <w:t>8. CONDIÇÕES GERAIS DO CONTRATO E RESCISÃO</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8.1 O Contrato obedecerá às disposições da Lei Federal nº 13.303 de 30/06/2016 e alterações posteriores, bem como as disposições deste Edital e preceitos do direito privado, no que concerne à sua execução, alteração, inexecução ou rescisão.</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8.2. O prazo contratual é de 12 (doze) meses contados a partir da emissão do Contrato.</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8.3. São partes integrantes do Contrato, independente de transcrição, o Aviso de Licitação, o Edital e seus anexos, o Termo de Referência e a proposta do licitante vencedor e seus anexos.</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8.4. A licitante vencedora se obriga a confirmar o recebimento do Contrato em até 05 (cinco) dias úteis, contados a partir da data do recebimento da notificação da CESAMA, respondendo pelos ônus dos tributos que incidam ou venham a incidir sobre o ato ou instrumento que o formalize.</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8.5. Decorrido o prazo do item anterior, a licitante vencedora será considerada desistente</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lastRenderedPageBreak/>
        <w:t xml:space="preserve">8.6. Ocorrendo a hipótese descrita no item 8.5,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w:t>
      </w:r>
      <w:proofErr w:type="spellStart"/>
      <w:r w:rsidRPr="0023075A">
        <w:rPr>
          <w:rFonts w:ascii="Arial" w:hAnsi="Arial" w:cs="Arial"/>
        </w:rPr>
        <w:t>Cesama</w:t>
      </w:r>
      <w:proofErr w:type="spellEnd"/>
      <w:r w:rsidRPr="0023075A">
        <w:rPr>
          <w:rFonts w:ascii="Arial" w:hAnsi="Arial" w:cs="Arial"/>
        </w:rPr>
        <w:t xml:space="preserve"> deverá revogar a licitação.</w:t>
      </w:r>
    </w:p>
    <w:p w:rsidR="00F349E6" w:rsidRPr="0023075A" w:rsidRDefault="00802CB9" w:rsidP="009E21A3">
      <w:pPr>
        <w:pStyle w:val="Standard"/>
        <w:suppressAutoHyphens/>
        <w:spacing w:after="240" w:line="360" w:lineRule="auto"/>
        <w:jc w:val="both"/>
        <w:rPr>
          <w:rFonts w:ascii="Arial" w:hAnsi="Arial" w:cs="Arial"/>
        </w:rPr>
      </w:pPr>
      <w:r w:rsidRPr="0023075A">
        <w:rPr>
          <w:rFonts w:ascii="Arial" w:hAnsi="Arial" w:cs="Arial"/>
        </w:rPr>
        <w:t>8.7. A Contratada poderá aceitar, nas mesmas condições contratuais, os acréscimos ou supressões estabelecidas no § 1º, art. 81 da Lei Federal nº 13.303/16.</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8.8. 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br/>
        <w:t>8.8.1.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br/>
        <w:t>8.8.2.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8.9. Para recebimento do Contrato, a empresa deverá comprovar a regularidade de situação perante o INSS, o FGTS e a Justiça do Trabalho, através de certidões dentro do prazo de validade.</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8.10 A licitante vencedora deverá estar quite com a CESAMA, quando sediada ou domiciliada no município de Juiz de Fora/MG</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lastRenderedPageBreak/>
        <w:t xml:space="preserve">8.11. No que se refere </w:t>
      </w:r>
      <w:proofErr w:type="gramStart"/>
      <w:r w:rsidRPr="0023075A">
        <w:rPr>
          <w:rFonts w:ascii="Arial" w:hAnsi="Arial" w:cs="Arial"/>
        </w:rPr>
        <w:t>a</w:t>
      </w:r>
      <w:proofErr w:type="gramEnd"/>
      <w:r w:rsidRPr="0023075A">
        <w:rPr>
          <w:rFonts w:ascii="Arial" w:hAnsi="Arial" w:cs="Arial"/>
        </w:rPr>
        <w:t xml:space="preserve"> inexecução e a rescisão do contrato, aplica-se o disposto nos </w:t>
      </w:r>
      <w:proofErr w:type="spellStart"/>
      <w:r w:rsidRPr="0023075A">
        <w:rPr>
          <w:rFonts w:ascii="Arial" w:hAnsi="Arial" w:cs="Arial"/>
        </w:rPr>
        <w:t>arts</w:t>
      </w:r>
      <w:proofErr w:type="spellEnd"/>
      <w:r w:rsidRPr="0023075A">
        <w:rPr>
          <w:rFonts w:ascii="Arial" w:hAnsi="Arial" w:cs="Arial"/>
        </w:rPr>
        <w:t xml:space="preserve">. 183 a 194 do Regulamento Interno de Licitações, Contratos e Convênios da </w:t>
      </w:r>
      <w:proofErr w:type="spellStart"/>
      <w:r w:rsidRPr="0023075A">
        <w:rPr>
          <w:rFonts w:ascii="Arial" w:hAnsi="Arial" w:cs="Arial"/>
        </w:rPr>
        <w:t>Cesama</w:t>
      </w:r>
      <w:proofErr w:type="spellEnd"/>
      <w:r w:rsidRPr="0023075A">
        <w:rPr>
          <w:rFonts w:ascii="Arial" w:hAnsi="Arial" w:cs="Arial"/>
        </w:rPr>
        <w:t>.</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8.12. A inexecução total ou parcial do contrato poderá ensejar a sua rescisão, com as </w:t>
      </w:r>
      <w:proofErr w:type="spellStart"/>
      <w:r w:rsidRPr="0023075A">
        <w:rPr>
          <w:rFonts w:ascii="Arial" w:hAnsi="Arial" w:cs="Arial"/>
        </w:rPr>
        <w:t>consequências</w:t>
      </w:r>
      <w:proofErr w:type="spellEnd"/>
      <w:r w:rsidRPr="0023075A">
        <w:rPr>
          <w:rFonts w:ascii="Arial" w:hAnsi="Arial" w:cs="Arial"/>
        </w:rPr>
        <w:t xml:space="preserve"> cabíveis.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8.13. Constituem motivo para rescisão do contrato os especificados no art. 184 e seguintes do RILC.</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8.14. A rescisão do contrato poderá ser:</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a.</w:t>
      </w:r>
      <w:proofErr w:type="gramEnd"/>
      <w:r w:rsidRPr="0023075A">
        <w:rPr>
          <w:rFonts w:ascii="Arial" w:hAnsi="Arial" w:cs="Arial"/>
        </w:rPr>
        <w:t xml:space="preserve"> por ato unilateral e escrito de qualquer das partes;</w:t>
      </w:r>
    </w:p>
    <w:p w:rsidR="00F349E6" w:rsidRPr="0023075A" w:rsidRDefault="00802CB9">
      <w:pPr>
        <w:pStyle w:val="Standard"/>
        <w:suppressAutoHyphens/>
        <w:spacing w:after="240" w:line="360" w:lineRule="auto"/>
        <w:ind w:left="400" w:hanging="400"/>
        <w:jc w:val="both"/>
        <w:rPr>
          <w:rFonts w:ascii="Arial" w:hAnsi="Arial" w:cs="Arial"/>
        </w:rPr>
      </w:pPr>
      <w:proofErr w:type="gramStart"/>
      <w:r w:rsidRPr="0023075A">
        <w:rPr>
          <w:rFonts w:ascii="Arial" w:hAnsi="Arial" w:cs="Arial"/>
        </w:rPr>
        <w:t>b.</w:t>
      </w:r>
      <w:proofErr w:type="gramEnd"/>
      <w:r w:rsidRPr="0023075A">
        <w:rPr>
          <w:rFonts w:ascii="Arial" w:hAnsi="Arial" w:cs="Arial"/>
        </w:rPr>
        <w:t xml:space="preserve"> amigável, por acordo entre as partes, reduzida a termo no processo de contratação, desde que haja conveniência para a </w:t>
      </w:r>
      <w:proofErr w:type="spellStart"/>
      <w:r w:rsidRPr="0023075A">
        <w:rPr>
          <w:rFonts w:ascii="Arial" w:hAnsi="Arial" w:cs="Arial"/>
        </w:rPr>
        <w:t>Cesama</w:t>
      </w:r>
      <w:proofErr w:type="spellEnd"/>
      <w:r w:rsidRPr="0023075A">
        <w:rPr>
          <w:rFonts w:ascii="Arial" w:hAnsi="Arial" w:cs="Arial"/>
        </w:rPr>
        <w:t>;</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c.</w:t>
      </w:r>
      <w:proofErr w:type="gramEnd"/>
      <w:r w:rsidRPr="0023075A">
        <w:rPr>
          <w:rFonts w:ascii="Arial" w:hAnsi="Arial" w:cs="Arial"/>
        </w:rPr>
        <w:t xml:space="preserve"> judicial, nos termos da legislação.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8.15. A rescisão por ato unilateral a que se refere à alínea “a” do item acima, deverá ser precedida de comunicação escrita e fundamentada da parte interessada e ser enviada à outra parte com antecedência mínima de 15 (quinze) dias.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8.15.1. Na hipótese de imprescindibilidade da execução contratual para a continuidade de serviços públicos essenciais, o prazo a que se refere o item 8.15 será de 30 (trinta) dias.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8.16. Quando a rescisão ocorrer sem que haja culpa da outra parte contratante, será esta ressarcida dos prejuízos que houver </w:t>
      </w:r>
      <w:proofErr w:type="gramStart"/>
      <w:r w:rsidRPr="0023075A">
        <w:rPr>
          <w:rFonts w:ascii="Arial" w:hAnsi="Arial" w:cs="Arial"/>
        </w:rPr>
        <w:t>sofrido,</w:t>
      </w:r>
      <w:proofErr w:type="gramEnd"/>
      <w:r w:rsidRPr="0023075A">
        <w:rPr>
          <w:rFonts w:ascii="Arial" w:hAnsi="Arial" w:cs="Arial"/>
        </w:rPr>
        <w:t xml:space="preserve"> regularmente comprovados, e no caso da Contratada poderá ter ainda direito a:</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a.</w:t>
      </w:r>
      <w:proofErr w:type="gramEnd"/>
      <w:r w:rsidRPr="0023075A">
        <w:rPr>
          <w:rFonts w:ascii="Arial" w:hAnsi="Arial" w:cs="Arial"/>
        </w:rPr>
        <w:t xml:space="preserve"> devolução da garantia;</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b.</w:t>
      </w:r>
      <w:proofErr w:type="gramEnd"/>
      <w:r w:rsidRPr="0023075A">
        <w:rPr>
          <w:rFonts w:ascii="Arial" w:hAnsi="Arial" w:cs="Arial"/>
        </w:rPr>
        <w:t xml:space="preserve"> pagamentos devidos pela execução do contrato até a data da rescisão;</w:t>
      </w:r>
    </w:p>
    <w:p w:rsidR="009E21A3" w:rsidRPr="0023075A" w:rsidRDefault="009E21A3">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b/>
        </w:rPr>
      </w:pPr>
      <w:r w:rsidRPr="0023075A">
        <w:rPr>
          <w:rFonts w:ascii="Arial" w:hAnsi="Arial" w:cs="Arial"/>
          <w:b/>
        </w:rPr>
        <w:t>9. DO PAGAMENTO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lastRenderedPageBreak/>
        <w:t>9.1 A CESAMA efetuará o pagamento até 30 (trinta) dias após a entrega dos documentos descritos no tem 6.1 e da NF após a aceitação da Nota Fiscal / Fatura pelo departamento competente.</w:t>
      </w:r>
    </w:p>
    <w:p w:rsidR="00F349E6" w:rsidRPr="0023075A" w:rsidRDefault="00802CB9">
      <w:pPr>
        <w:pStyle w:val="Standard"/>
        <w:tabs>
          <w:tab w:val="left" w:pos="851"/>
        </w:tabs>
        <w:suppressAutoHyphens/>
        <w:spacing w:after="240" w:line="360" w:lineRule="auto"/>
        <w:jc w:val="both"/>
        <w:rPr>
          <w:rFonts w:ascii="Arial" w:hAnsi="Arial" w:cs="Arial"/>
        </w:rPr>
      </w:pPr>
      <w:r w:rsidRPr="0023075A">
        <w:rPr>
          <w:rFonts w:ascii="Arial" w:hAnsi="Arial" w:cs="Arial"/>
        </w:rPr>
        <w:t xml:space="preserve">9.2 Caso o vencimento ocorra no sábado, domingo, feriado ou ponto facultativo para a </w:t>
      </w:r>
      <w:proofErr w:type="spellStart"/>
      <w:r w:rsidRPr="0023075A">
        <w:rPr>
          <w:rFonts w:ascii="Arial" w:hAnsi="Arial" w:cs="Arial"/>
        </w:rPr>
        <w:t>Cesama</w:t>
      </w:r>
      <w:proofErr w:type="spellEnd"/>
      <w:r w:rsidRPr="0023075A">
        <w:rPr>
          <w:rFonts w:ascii="Arial" w:hAnsi="Arial" w:cs="Arial"/>
        </w:rPr>
        <w:t xml:space="preserve">, o pagamento será realizado no primeiro dia </w:t>
      </w:r>
      <w:proofErr w:type="spellStart"/>
      <w:r w:rsidRPr="0023075A">
        <w:rPr>
          <w:rFonts w:ascii="Arial" w:hAnsi="Arial" w:cs="Arial"/>
        </w:rPr>
        <w:t>subsequente</w:t>
      </w:r>
      <w:proofErr w:type="spellEnd"/>
      <w:r w:rsidRPr="0023075A">
        <w:rPr>
          <w:rFonts w:ascii="Arial" w:hAnsi="Arial" w:cs="Arial"/>
        </w:rPr>
        <w:t>.</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9.3 O pagamento será efetuado através de depósito em conta bancária ou via TED (transferência eletrônica disponível), cujas tarifas extras correrão por conta da Contratada.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9.4 A Nota Fiscal Eletrônica – </w:t>
      </w:r>
      <w:proofErr w:type="spellStart"/>
      <w:r w:rsidRPr="0023075A">
        <w:rPr>
          <w:rFonts w:ascii="Arial" w:hAnsi="Arial" w:cs="Arial"/>
        </w:rPr>
        <w:t>NF-e</w:t>
      </w:r>
      <w:proofErr w:type="spellEnd"/>
      <w:r w:rsidRPr="0023075A">
        <w:rPr>
          <w:rFonts w:ascii="Arial" w:hAnsi="Arial" w:cs="Arial"/>
        </w:rPr>
        <w:t xml:space="preserve"> – deverá ser enviada para o e-mail </w:t>
      </w:r>
      <w:r w:rsidRPr="0023075A">
        <w:rPr>
          <w:rFonts w:ascii="Arial" w:hAnsi="Arial" w:cs="Arial"/>
          <w:u w:val="single"/>
        </w:rPr>
        <w:t>nfe@cesama.com.br</w:t>
      </w:r>
      <w:r w:rsidRPr="0023075A">
        <w:rPr>
          <w:rFonts w:ascii="Arial" w:hAnsi="Arial" w:cs="Arial"/>
        </w:rPr>
        <w:t>.</w:t>
      </w:r>
    </w:p>
    <w:p w:rsidR="00F349E6" w:rsidRPr="0023075A" w:rsidRDefault="00802CB9">
      <w:pPr>
        <w:pStyle w:val="Standard"/>
        <w:tabs>
          <w:tab w:val="left" w:pos="993"/>
        </w:tabs>
        <w:suppressAutoHyphens/>
        <w:spacing w:after="240" w:line="360" w:lineRule="auto"/>
        <w:jc w:val="both"/>
        <w:rPr>
          <w:rFonts w:ascii="Arial" w:hAnsi="Arial" w:cs="Arial"/>
        </w:rPr>
      </w:pPr>
      <w:r w:rsidRPr="0023075A">
        <w:rPr>
          <w:rFonts w:ascii="Arial" w:hAnsi="Arial" w:cs="Arial"/>
        </w:rPr>
        <w:t>9.5 O pagamento só poderá ser realizado em nome do fornecedor e os boletos não poderão, em hipótese nenhuma, ser pagos em nome de outro beneficiário.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9.6 </w:t>
      </w:r>
      <w:proofErr w:type="gramStart"/>
      <w:r w:rsidRPr="0023075A">
        <w:rPr>
          <w:rFonts w:ascii="Arial" w:hAnsi="Arial" w:cs="Arial"/>
        </w:rPr>
        <w:t>Deverá constar</w:t>
      </w:r>
      <w:proofErr w:type="gramEnd"/>
      <w:r w:rsidRPr="0023075A">
        <w:rPr>
          <w:rFonts w:ascii="Arial" w:hAnsi="Arial" w:cs="Arial"/>
        </w:rPr>
        <w:t xml:space="preserve"> na descrição da Nota Fiscal / Fatura o número da licitação e número do Contrato.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9.7 O pagamento SOMENTE será efetuado:</w:t>
      </w:r>
    </w:p>
    <w:p w:rsidR="00F349E6" w:rsidRPr="0023075A" w:rsidRDefault="00802CB9">
      <w:pPr>
        <w:pStyle w:val="Standard"/>
        <w:tabs>
          <w:tab w:val="left" w:pos="2574"/>
        </w:tabs>
        <w:suppressAutoHyphens/>
        <w:spacing w:after="240" w:line="360" w:lineRule="auto"/>
        <w:ind w:left="1287" w:hanging="360"/>
        <w:jc w:val="both"/>
        <w:rPr>
          <w:rFonts w:ascii="Arial" w:hAnsi="Arial" w:cs="Arial"/>
        </w:rPr>
      </w:pPr>
      <w:r w:rsidRPr="0023075A">
        <w:rPr>
          <w:rFonts w:ascii="Arial" w:hAnsi="Arial" w:cs="Arial"/>
        </w:rPr>
        <w:t>Após a aceitação da Nota Fiscal / Fatura.</w:t>
      </w:r>
    </w:p>
    <w:p w:rsidR="00F349E6" w:rsidRPr="0023075A" w:rsidRDefault="00802CB9">
      <w:pPr>
        <w:pStyle w:val="Standard"/>
        <w:tabs>
          <w:tab w:val="left" w:pos="2574"/>
        </w:tabs>
        <w:suppressAutoHyphens/>
        <w:spacing w:after="240" w:line="360" w:lineRule="auto"/>
        <w:ind w:left="1287" w:hanging="360"/>
        <w:jc w:val="both"/>
        <w:rPr>
          <w:rFonts w:ascii="Arial" w:hAnsi="Arial" w:cs="Arial"/>
        </w:rPr>
      </w:pPr>
      <w:r w:rsidRPr="0023075A">
        <w:rPr>
          <w:rFonts w:ascii="Arial" w:hAnsi="Arial" w:cs="Arial"/>
        </w:rPr>
        <w:t xml:space="preserve">Após o recolhimento pela </w:t>
      </w:r>
      <w:proofErr w:type="gramStart"/>
      <w:r w:rsidRPr="0023075A">
        <w:rPr>
          <w:rFonts w:ascii="Arial" w:hAnsi="Arial" w:cs="Arial"/>
        </w:rPr>
        <w:t>adjudicatária de quaisquer multas que lhe tenham sido impostas em decorrência de inadimplemento contratual</w:t>
      </w:r>
      <w:proofErr w:type="gramEnd"/>
      <w:r w:rsidRPr="0023075A">
        <w:rPr>
          <w:rFonts w:ascii="Arial" w:hAnsi="Arial" w:cs="Arial"/>
        </w:rPr>
        <w:t>.</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9.8 Na Nota Fiscal / </w:t>
      </w:r>
      <w:proofErr w:type="gramStart"/>
      <w:r w:rsidRPr="0023075A">
        <w:rPr>
          <w:rFonts w:ascii="Arial" w:hAnsi="Arial" w:cs="Arial"/>
        </w:rPr>
        <w:t>Fatura</w:t>
      </w:r>
      <w:proofErr w:type="gramEnd"/>
      <w:r w:rsidRPr="0023075A">
        <w:rPr>
          <w:rFonts w:ascii="Arial" w:hAnsi="Arial" w:cs="Arial"/>
        </w:rPr>
        <w:t xml:space="preserve"> (em duas vias) deverão ser anexadas as certidões atualizadas de regularidade junto ao INSS, ao FGTS e à Justiça do Trabalho.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9.9 Na eventualidade de aplicação de multas, estas deverão ser liquidadas simultaneamente com parcela vinculada ao evento cujo descumprimento der origem à aplicação da penalidade.</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9.10 O CNPJ da Contratada constante da Nota Fiscal / Fatura deverá ser o mesmo da documentação apresentada na licitação.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lastRenderedPageBreak/>
        <w:t xml:space="preserve">9.11 A proponente </w:t>
      </w:r>
      <w:proofErr w:type="gramStart"/>
      <w:r w:rsidRPr="0023075A">
        <w:rPr>
          <w:rFonts w:ascii="Arial" w:hAnsi="Arial" w:cs="Arial"/>
        </w:rPr>
        <w:t>tem</w:t>
      </w:r>
      <w:proofErr w:type="gramEnd"/>
      <w:r w:rsidRPr="0023075A">
        <w:rPr>
          <w:rFonts w:ascii="Arial" w:hAnsi="Arial" w:cs="Arial"/>
        </w:rPr>
        <w:t xml:space="preserve"> conhecimento dos termos do Decreto 8.542 de 09/05/2005, que regulamenta o reajuste de preços nos contratos da Administração Pública Municipal Direta e Indireta e cujas normas se incorporam ao contrato, no que couber.</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9.12 Na hipótese de ocorrer atraso no pagamento da Nota Fiscal / </w:t>
      </w:r>
      <w:proofErr w:type="gramStart"/>
      <w:r w:rsidRPr="0023075A">
        <w:rPr>
          <w:rFonts w:ascii="Arial" w:hAnsi="Arial" w:cs="Arial"/>
        </w:rPr>
        <w:t>Fatura</w:t>
      </w:r>
      <w:proofErr w:type="gramEnd"/>
      <w:r w:rsidRPr="0023075A">
        <w:rPr>
          <w:rFonts w:ascii="Arial" w:hAnsi="Arial" w:cs="Arial"/>
        </w:rPr>
        <w:t xml:space="preserve"> por responsabilidade da CESAMA, esta se compromete a aplicar, conforme legislação em vigor, juros de mora sobre o valor devido “pro rata” entre a data do vencimento e o efetivo pagamento.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9.13 A Contratada não poderá ceder ou dar em garantia, em qualquer hipótese, no todo ou em parte, os créditos de qualquer natureza, decorrentes ou oriundos do Contrato.</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t>9.14 Nenhum</w:t>
      </w:r>
      <w:proofErr w:type="gramEnd"/>
      <w:r w:rsidRPr="0023075A">
        <w:rPr>
          <w:rFonts w:ascii="Arial" w:hAnsi="Arial" w:cs="Arial"/>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9.15 A antecipação de pagamento só poderá ocorrer caso o serviço tenha sido realizado.</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 xml:space="preserve">9. 16 A </w:t>
      </w:r>
      <w:proofErr w:type="spellStart"/>
      <w:r w:rsidRPr="0023075A">
        <w:rPr>
          <w:rFonts w:ascii="Arial" w:hAnsi="Arial" w:cs="Arial"/>
        </w:rPr>
        <w:t>Cesama</w:t>
      </w:r>
      <w:proofErr w:type="spellEnd"/>
      <w:r w:rsidRPr="0023075A">
        <w:rPr>
          <w:rFonts w:ascii="Arial" w:hAnsi="Arial" w:cs="Arial"/>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23075A">
        <w:rPr>
          <w:rFonts w:ascii="Arial" w:hAnsi="Arial" w:cs="Arial"/>
        </w:rPr>
        <w:t>Cesama</w:t>
      </w:r>
      <w:proofErr w:type="spellEnd"/>
      <w:r w:rsidRPr="0023075A">
        <w:rPr>
          <w:rFonts w:ascii="Arial" w:hAnsi="Arial" w:cs="Arial"/>
        </w:rPr>
        <w:t>. Havendo a antecipação do pagamento, o mesmo sofrerá um desconto financeiro, e o índice a ser utilizado será o Índice Nacional de Preços ao Consumidor – INPC acrescido de 1% (um por cento) “pro rata”.</w:t>
      </w:r>
    </w:p>
    <w:p w:rsidR="009E21A3" w:rsidRPr="0023075A" w:rsidRDefault="009E21A3">
      <w:pPr>
        <w:pStyle w:val="Standard"/>
        <w:tabs>
          <w:tab w:val="left" w:pos="0"/>
          <w:tab w:val="left" w:pos="993"/>
        </w:tabs>
        <w:suppressAutoHyphens/>
        <w:spacing w:after="240" w:line="360" w:lineRule="auto"/>
        <w:jc w:val="both"/>
        <w:rPr>
          <w:rFonts w:ascii="Arial" w:hAnsi="Arial" w:cs="Arial"/>
        </w:rPr>
      </w:pPr>
    </w:p>
    <w:p w:rsidR="00F349E6" w:rsidRPr="0023075A" w:rsidRDefault="00802CB9">
      <w:pPr>
        <w:pStyle w:val="Standard"/>
        <w:tabs>
          <w:tab w:val="left" w:pos="0"/>
          <w:tab w:val="left" w:pos="993"/>
        </w:tabs>
        <w:suppressAutoHyphens/>
        <w:spacing w:after="240" w:line="360" w:lineRule="auto"/>
        <w:jc w:val="both"/>
        <w:rPr>
          <w:rFonts w:ascii="Arial" w:hAnsi="Arial" w:cs="Arial"/>
          <w:b/>
        </w:rPr>
      </w:pPr>
      <w:r w:rsidRPr="0023075A">
        <w:rPr>
          <w:rFonts w:ascii="Arial" w:hAnsi="Arial" w:cs="Arial"/>
          <w:b/>
        </w:rPr>
        <w:t>10. OBRIGAÇÕES DA CONTRATADA</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10.1. Providenciar, imediatamente, a correção das deficiências apontadas pela CESAMA com respeito ao fornecimento do objeto.</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10.2. Executar os serviços dentro das condições estabelecidas e respeitando os prazos fixados.</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lastRenderedPageBreak/>
        <w:t xml:space="preserve">10.3. Responsabilizar-se pela qualidade dos serviços, </w:t>
      </w:r>
      <w:proofErr w:type="spellStart"/>
      <w:r w:rsidRPr="0023075A">
        <w:rPr>
          <w:rFonts w:ascii="Arial" w:hAnsi="Arial" w:cs="Arial"/>
        </w:rPr>
        <w:t>reexecutando</w:t>
      </w:r>
      <w:proofErr w:type="spellEnd"/>
      <w:r w:rsidRPr="0023075A">
        <w:rPr>
          <w:rFonts w:ascii="Arial" w:hAnsi="Arial" w:cs="Arial"/>
        </w:rPr>
        <w:t>, imediatamente, aqueles que apresentarem qualquer tipo de vício ou imperfeição, ou não se adequarem às especificações constantes deste Termo, sob pena de aplicação das sanções cabíveis, inclusive rescisão da Ata.</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10.5. Cumprir os prazos previstos em Edital ou outros que venham a ser fixados pela CESAMA.</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10.6. Dirimir qualquer dúvida e prestar esclarecimentos acerca da execução do contrato, durante toda a sua vigência, a pedido da CESAMA.</w:t>
      </w:r>
    </w:p>
    <w:p w:rsidR="00F349E6" w:rsidRPr="0023075A" w:rsidRDefault="00802CB9">
      <w:pPr>
        <w:pStyle w:val="Standard"/>
        <w:tabs>
          <w:tab w:val="left" w:pos="0"/>
          <w:tab w:val="left" w:pos="993"/>
        </w:tabs>
        <w:suppressAutoHyphens/>
        <w:spacing w:after="240" w:line="360" w:lineRule="auto"/>
        <w:jc w:val="both"/>
        <w:rPr>
          <w:rFonts w:ascii="Arial" w:hAnsi="Arial" w:cs="Arial"/>
          <w:b/>
        </w:rPr>
      </w:pPr>
      <w:r w:rsidRPr="0023075A">
        <w:rPr>
          <w:rFonts w:ascii="Arial" w:hAnsi="Arial" w:cs="Arial"/>
          <w:b/>
        </w:rPr>
        <w:t>11. OBRIGAÇÕES DA CESAMA</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11.1. Emitir o(s) pedido(s) através da assinatura do contrato.</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11.2. Efetuar todos os pagamentos devidos à contratada, nas condições estabelecidas.</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11.3. Fiscalizar a execução do contrato, o que não fará cessar ou diminuir a responsabilidade da contratada pelo perfeito cumprimento das obrigações estipuladas, nem por quaisquer danos, inclusive quanto a terceiros, ou por irregularidades constatadas.</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11.4. Rejeitar todo e qualquer serviço de má qualidade e em desconformidade com as especificações deste Termo.</w:t>
      </w:r>
    </w:p>
    <w:p w:rsidR="009E21A3" w:rsidRPr="0023075A" w:rsidRDefault="009E21A3">
      <w:pPr>
        <w:pStyle w:val="Standard"/>
        <w:tabs>
          <w:tab w:val="left" w:pos="0"/>
          <w:tab w:val="left" w:pos="993"/>
        </w:tabs>
        <w:suppressAutoHyphens/>
        <w:spacing w:after="240" w:line="360" w:lineRule="auto"/>
        <w:jc w:val="both"/>
        <w:rPr>
          <w:rFonts w:ascii="Arial" w:hAnsi="Arial" w:cs="Arial"/>
          <w:b/>
        </w:rPr>
      </w:pPr>
    </w:p>
    <w:p w:rsidR="00F349E6" w:rsidRPr="0023075A" w:rsidRDefault="00802CB9">
      <w:pPr>
        <w:pStyle w:val="Standard"/>
        <w:tabs>
          <w:tab w:val="left" w:pos="0"/>
          <w:tab w:val="left" w:pos="993"/>
        </w:tabs>
        <w:suppressAutoHyphens/>
        <w:spacing w:after="240" w:line="360" w:lineRule="auto"/>
        <w:jc w:val="both"/>
        <w:rPr>
          <w:rFonts w:ascii="Arial" w:hAnsi="Arial" w:cs="Arial"/>
          <w:b/>
        </w:rPr>
      </w:pPr>
      <w:r w:rsidRPr="0023075A">
        <w:rPr>
          <w:rFonts w:ascii="Arial" w:hAnsi="Arial" w:cs="Arial"/>
          <w:b/>
        </w:rPr>
        <w:t>12. CRITÉRIO DE JULGAMENTO</w:t>
      </w:r>
    </w:p>
    <w:p w:rsidR="00F349E6" w:rsidRPr="0023075A" w:rsidRDefault="00802CB9">
      <w:pPr>
        <w:pStyle w:val="Standard"/>
        <w:tabs>
          <w:tab w:val="left" w:pos="0"/>
          <w:tab w:val="left" w:pos="993"/>
        </w:tabs>
        <w:suppressAutoHyphens/>
        <w:spacing w:after="240" w:line="360" w:lineRule="auto"/>
        <w:jc w:val="both"/>
        <w:rPr>
          <w:rFonts w:ascii="Arial" w:hAnsi="Arial" w:cs="Arial"/>
        </w:rPr>
      </w:pPr>
      <w:r w:rsidRPr="0023075A">
        <w:rPr>
          <w:rFonts w:ascii="Arial" w:hAnsi="Arial" w:cs="Arial"/>
        </w:rPr>
        <w:t>O critério de julgamento será o de MENOR PREÇO representado pelo MENOR PREÇO GLOBAL, desde que observadas às especificações e demais condições estabelecidas no Edital e seus anexos.</w:t>
      </w:r>
    </w:p>
    <w:p w:rsidR="00F349E6" w:rsidRPr="0023075A" w:rsidRDefault="00802CB9">
      <w:pPr>
        <w:pStyle w:val="Standard"/>
        <w:suppressAutoHyphens/>
        <w:spacing w:after="240" w:line="360" w:lineRule="auto"/>
        <w:jc w:val="both"/>
        <w:rPr>
          <w:rFonts w:ascii="Arial" w:hAnsi="Arial" w:cs="Arial"/>
          <w:b/>
        </w:rPr>
      </w:pPr>
      <w:r w:rsidRPr="0023075A">
        <w:rPr>
          <w:rFonts w:ascii="Arial" w:hAnsi="Arial" w:cs="Arial"/>
          <w:b/>
        </w:rPr>
        <w:t>13. DA EXIGÊNCIA PARA HABILITAÇÃO/PROPOSTA</w:t>
      </w:r>
    </w:p>
    <w:p w:rsidR="00F349E6" w:rsidRPr="0023075A" w:rsidRDefault="00802CB9" w:rsidP="009E21A3">
      <w:pPr>
        <w:pStyle w:val="Standard"/>
        <w:tabs>
          <w:tab w:val="left" w:pos="1440"/>
        </w:tabs>
        <w:suppressAutoHyphens/>
        <w:spacing w:after="240" w:line="360" w:lineRule="auto"/>
        <w:ind w:left="360" w:hanging="360"/>
        <w:jc w:val="both"/>
        <w:rPr>
          <w:rFonts w:ascii="Arial" w:hAnsi="Arial" w:cs="Arial"/>
        </w:rPr>
      </w:pPr>
      <w:r w:rsidRPr="0023075A">
        <w:rPr>
          <w:rFonts w:ascii="Arial" w:hAnsi="Arial" w:cs="Arial"/>
        </w:rPr>
        <w:t xml:space="preserve">Para a habilitação, a licitante deverá possuir cadastro no </w:t>
      </w:r>
      <w:r w:rsidRPr="0023075A">
        <w:rPr>
          <w:rFonts w:ascii="Arial" w:hAnsi="Arial" w:cs="Arial"/>
          <w:shd w:val="clear" w:color="auto" w:fill="FFFFFF"/>
        </w:rPr>
        <w:t xml:space="preserve">Sistema de Consulta aos Escopos de </w:t>
      </w:r>
      <w:proofErr w:type="spellStart"/>
      <w:r w:rsidRPr="0023075A">
        <w:rPr>
          <w:rFonts w:ascii="Arial" w:hAnsi="Arial" w:cs="Arial"/>
          <w:shd w:val="clear" w:color="auto" w:fill="FFFFFF"/>
        </w:rPr>
        <w:t>Acreditação</w:t>
      </w:r>
      <w:proofErr w:type="spellEnd"/>
      <w:r w:rsidRPr="0023075A">
        <w:rPr>
          <w:rFonts w:ascii="Arial" w:hAnsi="Arial" w:cs="Arial"/>
          <w:shd w:val="clear" w:color="auto" w:fill="FFFFFF"/>
        </w:rPr>
        <w:t xml:space="preserve"> dos Laboratórios de Ensaio (ISO/IEC 17025) Acreditados </w:t>
      </w:r>
      <w:r w:rsidRPr="0023075A">
        <w:rPr>
          <w:rFonts w:ascii="Arial" w:hAnsi="Arial" w:cs="Arial"/>
        </w:rPr>
        <w:lastRenderedPageBreak/>
        <w:t>do Inmetro (</w:t>
      </w:r>
      <w:r w:rsidRPr="0023075A">
        <w:rPr>
          <w:rFonts w:ascii="Arial" w:hAnsi="Arial" w:cs="Arial"/>
          <w:u w:val="single"/>
        </w:rPr>
        <w:t>http://www.inmetro.gov.br/laboratorios/rble/</w:t>
      </w:r>
      <w:proofErr w:type="gramStart"/>
      <w:r w:rsidRPr="0023075A">
        <w:rPr>
          <w:rFonts w:ascii="Arial" w:hAnsi="Arial" w:cs="Arial"/>
          <w:u w:val="single"/>
        </w:rPr>
        <w:t>)</w:t>
      </w:r>
      <w:r w:rsidRPr="0023075A">
        <w:rPr>
          <w:rFonts w:ascii="Arial" w:hAnsi="Arial" w:cs="Arial"/>
        </w:rPr>
        <w:t>para</w:t>
      </w:r>
      <w:proofErr w:type="gramEnd"/>
      <w:r w:rsidRPr="0023075A">
        <w:rPr>
          <w:rFonts w:ascii="Arial" w:hAnsi="Arial" w:cs="Arial"/>
        </w:rPr>
        <w:t xml:space="preserve"> todos os parâmetros listados nas Tabelas 1, 2 e 3, possuindo como área de atividade: Meio ambiente e como produto água tratada e efluente de esgoto, estando com </w:t>
      </w:r>
      <w:proofErr w:type="spellStart"/>
      <w:r w:rsidRPr="0023075A">
        <w:rPr>
          <w:rFonts w:ascii="Arial" w:hAnsi="Arial" w:cs="Arial"/>
        </w:rPr>
        <w:t>acreditação</w:t>
      </w:r>
      <w:proofErr w:type="spellEnd"/>
      <w:r w:rsidRPr="0023075A">
        <w:rPr>
          <w:rFonts w:ascii="Arial" w:hAnsi="Arial" w:cs="Arial"/>
        </w:rPr>
        <w:t xml:space="preserve"> vigente na data da licitação. Exigido também para qualquer terceirização, caso haja.</w:t>
      </w:r>
    </w:p>
    <w:p w:rsidR="00F349E6" w:rsidRPr="0023075A" w:rsidRDefault="00802CB9">
      <w:pPr>
        <w:pStyle w:val="Standard"/>
        <w:tabs>
          <w:tab w:val="left" w:pos="1440"/>
        </w:tabs>
        <w:suppressAutoHyphens/>
        <w:spacing w:after="240" w:line="360" w:lineRule="auto"/>
        <w:ind w:left="720" w:hanging="360"/>
        <w:jc w:val="both"/>
        <w:rPr>
          <w:rFonts w:ascii="Arial" w:hAnsi="Arial" w:cs="Arial"/>
        </w:rPr>
      </w:pPr>
      <w:r w:rsidRPr="0023075A">
        <w:rPr>
          <w:rFonts w:ascii="Arial" w:hAnsi="Arial" w:cs="Arial"/>
        </w:rPr>
        <w:t>Atestado que comprove a prestação de serviço semelhante ao objeto deste TR.</w:t>
      </w:r>
    </w:p>
    <w:p w:rsidR="00F349E6" w:rsidRPr="0023075A" w:rsidRDefault="00802CB9">
      <w:pPr>
        <w:pStyle w:val="Standard"/>
        <w:suppressAutoHyphens/>
        <w:spacing w:after="240" w:line="360" w:lineRule="auto"/>
        <w:jc w:val="both"/>
        <w:rPr>
          <w:rFonts w:ascii="Arial" w:hAnsi="Arial" w:cs="Arial"/>
          <w:b/>
        </w:rPr>
      </w:pPr>
      <w:r w:rsidRPr="0023075A">
        <w:rPr>
          <w:rFonts w:ascii="Arial" w:hAnsi="Arial" w:cs="Arial"/>
          <w:b/>
        </w:rPr>
        <w:t>14. PENALIDADES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14.1. O descumprimento de quaisquer cláusulas estabelecidas neste Termo de Referência sujeitará à aplicação das sanções previstas no edital, conforme minuta padrão e informações das áreas pertinentes.</w:t>
      </w:r>
    </w:p>
    <w:p w:rsidR="009E21A3" w:rsidRPr="0023075A" w:rsidRDefault="009E21A3">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360" w:lineRule="auto"/>
        <w:jc w:val="both"/>
        <w:rPr>
          <w:rFonts w:ascii="Arial" w:hAnsi="Arial" w:cs="Arial"/>
          <w:b/>
        </w:rPr>
      </w:pPr>
      <w:r w:rsidRPr="0023075A">
        <w:rPr>
          <w:rFonts w:ascii="Arial" w:hAnsi="Arial" w:cs="Arial"/>
          <w:b/>
        </w:rPr>
        <w:t>15.  DISPOSIÇÕES GERAIS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15.1 A presente contratação não estabelece nenhum vínculo de natureza empregatícia </w:t>
      </w:r>
      <w:proofErr w:type="gramStart"/>
      <w:r w:rsidRPr="0023075A">
        <w:rPr>
          <w:rFonts w:ascii="Arial" w:hAnsi="Arial" w:cs="Arial"/>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3075A">
        <w:rPr>
          <w:rFonts w:ascii="Arial" w:hAnsi="Arial" w:cs="Arial"/>
        </w:rPr>
        <w:t xml:space="preserve"> qualquer outra.</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15.2 A CESAMA e a Contratada poderão restabelecer o equilíbrio econômico-financeiro da contratação, nos termos do artigo 81, inciso VI, da Lei n. 13.303/16, por novo pacto </w:t>
      </w:r>
      <w:proofErr w:type="gramStart"/>
      <w:r w:rsidRPr="0023075A">
        <w:rPr>
          <w:rFonts w:ascii="Arial" w:hAnsi="Arial" w:cs="Arial"/>
        </w:rPr>
        <w:t>precedido de cálculo ou de demonstração analítica do aumento ou diminuição dos custos, obedecidos</w:t>
      </w:r>
      <w:proofErr w:type="gramEnd"/>
      <w:r w:rsidRPr="0023075A">
        <w:rPr>
          <w:rFonts w:ascii="Arial" w:hAnsi="Arial" w:cs="Arial"/>
        </w:rPr>
        <w:t xml:space="preserve"> os critérios estabelecidos em planilha de formação de preços e tendo como limite a média dos preços encontrados no mercado em geral.</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15.3 A CESAMA </w:t>
      </w:r>
      <w:proofErr w:type="gramStart"/>
      <w:r w:rsidRPr="0023075A">
        <w:rPr>
          <w:rFonts w:ascii="Arial" w:hAnsi="Arial" w:cs="Arial"/>
        </w:rPr>
        <w:t>reserva</w:t>
      </w:r>
      <w:proofErr w:type="gramEnd"/>
      <w:r w:rsidRPr="0023075A">
        <w:rPr>
          <w:rFonts w:ascii="Arial" w:hAnsi="Arial" w:cs="Arial"/>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F349E6" w:rsidRPr="0023075A" w:rsidRDefault="00802CB9">
      <w:pPr>
        <w:pStyle w:val="Standard"/>
        <w:suppressAutoHyphens/>
        <w:spacing w:after="240" w:line="360" w:lineRule="auto"/>
        <w:jc w:val="both"/>
        <w:rPr>
          <w:rFonts w:ascii="Arial" w:hAnsi="Arial" w:cs="Arial"/>
        </w:rPr>
      </w:pPr>
      <w:proofErr w:type="gramStart"/>
      <w:r w:rsidRPr="0023075A">
        <w:rPr>
          <w:rFonts w:ascii="Arial" w:hAnsi="Arial" w:cs="Arial"/>
        </w:rPr>
        <w:lastRenderedPageBreak/>
        <w:t>15.4 Qualquer</w:t>
      </w:r>
      <w:proofErr w:type="gramEnd"/>
      <w:r w:rsidRPr="0023075A">
        <w:rPr>
          <w:rFonts w:ascii="Arial" w:hAnsi="Arial" w:cs="Arial"/>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 xml:space="preserve">15.5 A Contratada, por si, seus agentes, prepostos, empregados ou quaisquer encarregados, assume inteira responsabilidade por quaisquer danos </w:t>
      </w:r>
      <w:proofErr w:type="gramStart"/>
      <w:r w:rsidRPr="0023075A">
        <w:rPr>
          <w:rFonts w:ascii="Arial" w:hAnsi="Arial" w:cs="Arial"/>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3075A">
        <w:rPr>
          <w:rFonts w:ascii="Arial" w:hAnsi="Arial" w:cs="Arial"/>
        </w:rPr>
        <w:t xml:space="preserve"> prejuízos.</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15.8 A contratação será formalizada mediante Contrato, nos termos do art.137, inciso II, do RILC.</w:t>
      </w:r>
    </w:p>
    <w:p w:rsidR="00F349E6" w:rsidRPr="0023075A" w:rsidRDefault="00802CB9">
      <w:pPr>
        <w:pStyle w:val="Standard"/>
        <w:suppressAutoHyphens/>
        <w:spacing w:after="240" w:line="360" w:lineRule="auto"/>
        <w:jc w:val="both"/>
        <w:rPr>
          <w:rFonts w:ascii="Arial" w:hAnsi="Arial" w:cs="Arial"/>
        </w:rPr>
      </w:pPr>
      <w:r w:rsidRPr="0023075A">
        <w:rPr>
          <w:rFonts w:ascii="Arial" w:hAnsi="Arial" w:cs="Arial"/>
        </w:rPr>
        <w:t>15.9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E21A3" w:rsidRPr="0023075A" w:rsidRDefault="009E21A3">
      <w:pPr>
        <w:pStyle w:val="Standard"/>
        <w:suppressAutoHyphens/>
        <w:spacing w:after="240" w:line="360" w:lineRule="auto"/>
        <w:jc w:val="both"/>
        <w:rPr>
          <w:rFonts w:ascii="Arial" w:hAnsi="Arial" w:cs="Arial"/>
        </w:rPr>
      </w:pPr>
    </w:p>
    <w:p w:rsidR="009E21A3" w:rsidRPr="0023075A" w:rsidRDefault="009E21A3">
      <w:pPr>
        <w:pStyle w:val="Standard"/>
        <w:suppressAutoHyphens/>
        <w:spacing w:after="240" w:line="360" w:lineRule="auto"/>
        <w:jc w:val="both"/>
        <w:rPr>
          <w:rFonts w:ascii="Arial" w:hAnsi="Arial" w:cs="Arial"/>
        </w:rPr>
      </w:pPr>
    </w:p>
    <w:p w:rsidR="00F349E6" w:rsidRPr="0023075A" w:rsidRDefault="00802CB9">
      <w:pPr>
        <w:pStyle w:val="Standard"/>
        <w:suppressAutoHyphens/>
        <w:spacing w:after="240" w:line="240" w:lineRule="auto"/>
        <w:ind w:left="2268"/>
        <w:jc w:val="both"/>
        <w:rPr>
          <w:rFonts w:ascii="Arial" w:hAnsi="Arial" w:cs="Arial"/>
          <w:i/>
        </w:rPr>
      </w:pPr>
      <w:r w:rsidRPr="0023075A">
        <w:rPr>
          <w:rFonts w:ascii="Arial" w:hAnsi="Arial" w:cs="Arial"/>
          <w:i/>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349E6" w:rsidRPr="0023075A" w:rsidRDefault="00F349E6">
      <w:pPr>
        <w:pStyle w:val="Standard"/>
        <w:suppressAutoHyphens/>
        <w:spacing w:line="360" w:lineRule="auto"/>
        <w:jc w:val="both"/>
        <w:rPr>
          <w:rFonts w:ascii="Arial" w:hAnsi="Arial" w:cs="Arial"/>
        </w:rPr>
      </w:pPr>
    </w:p>
    <w:p w:rsidR="009E21A3" w:rsidRPr="0023075A" w:rsidRDefault="00613E86" w:rsidP="00613E86">
      <w:pPr>
        <w:pStyle w:val="Standard"/>
        <w:suppressAutoHyphens/>
        <w:spacing w:line="360" w:lineRule="auto"/>
        <w:jc w:val="center"/>
        <w:rPr>
          <w:rFonts w:ascii="Arial" w:hAnsi="Arial" w:cs="Arial"/>
        </w:rPr>
      </w:pPr>
      <w:r w:rsidRPr="0023075A">
        <w:rPr>
          <w:rFonts w:ascii="Arial" w:hAnsi="Arial" w:cs="Arial"/>
        </w:rPr>
        <w:t>(Assinado no original)</w:t>
      </w:r>
    </w:p>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RICARDO GOMES ALBUQUERQUE</w:t>
      </w:r>
    </w:p>
    <w:p w:rsidR="00F349E6" w:rsidRPr="0023075A" w:rsidRDefault="000B2B2C">
      <w:pPr>
        <w:pStyle w:val="Standard"/>
        <w:suppressAutoHyphens/>
        <w:spacing w:line="240" w:lineRule="auto"/>
        <w:jc w:val="center"/>
        <w:rPr>
          <w:rFonts w:ascii="Arial" w:hAnsi="Arial" w:cs="Arial"/>
        </w:rPr>
      </w:pPr>
      <w:r w:rsidRPr="0023075A">
        <w:rPr>
          <w:rFonts w:ascii="Arial" w:hAnsi="Arial" w:cs="Arial"/>
        </w:rPr>
        <w:t>Chefe</w:t>
      </w:r>
      <w:r w:rsidR="00802CB9" w:rsidRPr="0023075A">
        <w:rPr>
          <w:rFonts w:ascii="Arial" w:hAnsi="Arial" w:cs="Arial"/>
        </w:rPr>
        <w:t xml:space="preserve"> do Departamento de Tratamento de Esgoto</w:t>
      </w:r>
    </w:p>
    <w:p w:rsidR="00F349E6" w:rsidRPr="0023075A" w:rsidRDefault="00F349E6">
      <w:pPr>
        <w:pStyle w:val="Standard"/>
        <w:suppressAutoHyphens/>
        <w:spacing w:line="240" w:lineRule="auto"/>
        <w:jc w:val="center"/>
        <w:rPr>
          <w:rFonts w:ascii="Arial" w:hAnsi="Arial" w:cs="Arial"/>
        </w:rPr>
      </w:pPr>
    </w:p>
    <w:p w:rsidR="00F349E6" w:rsidRPr="0023075A" w:rsidRDefault="00F349E6">
      <w:pPr>
        <w:pStyle w:val="Standard"/>
        <w:suppressAutoHyphens/>
        <w:spacing w:line="240" w:lineRule="auto"/>
        <w:jc w:val="center"/>
        <w:rPr>
          <w:rFonts w:ascii="Arial" w:hAnsi="Arial" w:cs="Arial"/>
        </w:rPr>
      </w:pPr>
    </w:p>
    <w:p w:rsidR="00613E86" w:rsidRPr="0023075A" w:rsidRDefault="00613E86" w:rsidP="00613E86">
      <w:pPr>
        <w:pStyle w:val="Standard"/>
        <w:suppressAutoHyphens/>
        <w:spacing w:line="360" w:lineRule="auto"/>
        <w:jc w:val="center"/>
        <w:rPr>
          <w:rFonts w:ascii="Arial" w:hAnsi="Arial" w:cs="Arial"/>
        </w:rPr>
      </w:pPr>
      <w:r w:rsidRPr="0023075A">
        <w:rPr>
          <w:rFonts w:ascii="Arial" w:hAnsi="Arial" w:cs="Arial"/>
        </w:rPr>
        <w:t>(Assinado no original)</w:t>
      </w:r>
    </w:p>
    <w:p w:rsidR="00F349E6" w:rsidRPr="0023075A" w:rsidRDefault="000B2B2C">
      <w:pPr>
        <w:pStyle w:val="Standard"/>
        <w:suppressAutoHyphens/>
        <w:spacing w:line="240" w:lineRule="auto"/>
        <w:jc w:val="center"/>
        <w:rPr>
          <w:rFonts w:ascii="Arial" w:hAnsi="Arial" w:cs="Arial"/>
        </w:rPr>
      </w:pPr>
      <w:r w:rsidRPr="0023075A">
        <w:rPr>
          <w:rFonts w:ascii="Arial" w:hAnsi="Arial" w:cs="Arial"/>
        </w:rPr>
        <w:t>FRANCISCO DE ASSIS ARAU</w:t>
      </w:r>
      <w:r w:rsidR="00802CB9" w:rsidRPr="0023075A">
        <w:rPr>
          <w:rFonts w:ascii="Arial" w:hAnsi="Arial" w:cs="Arial"/>
        </w:rPr>
        <w:t>JO</w:t>
      </w:r>
    </w:p>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Gerente de Operação</w:t>
      </w:r>
    </w:p>
    <w:p w:rsidR="00613E86" w:rsidRPr="0023075A" w:rsidRDefault="00613E86" w:rsidP="00613E86">
      <w:pPr>
        <w:pStyle w:val="Standard"/>
        <w:suppressAutoHyphens/>
        <w:spacing w:line="360" w:lineRule="auto"/>
        <w:jc w:val="center"/>
        <w:rPr>
          <w:rFonts w:ascii="Arial" w:hAnsi="Arial" w:cs="Arial"/>
        </w:rPr>
      </w:pPr>
    </w:p>
    <w:p w:rsidR="00613E86" w:rsidRPr="0023075A" w:rsidRDefault="00613E86" w:rsidP="00613E86">
      <w:pPr>
        <w:pStyle w:val="Standard"/>
        <w:suppressAutoHyphens/>
        <w:spacing w:line="360" w:lineRule="auto"/>
        <w:jc w:val="center"/>
        <w:rPr>
          <w:rFonts w:ascii="Arial" w:hAnsi="Arial" w:cs="Arial"/>
        </w:rPr>
      </w:pPr>
      <w:r w:rsidRPr="0023075A">
        <w:rPr>
          <w:rFonts w:ascii="Arial" w:hAnsi="Arial" w:cs="Arial"/>
        </w:rPr>
        <w:t>(Assinado no original)</w:t>
      </w:r>
    </w:p>
    <w:p w:rsidR="00F349E6" w:rsidRPr="0023075A" w:rsidRDefault="00802CB9">
      <w:pPr>
        <w:pStyle w:val="Standard"/>
        <w:suppressAutoHyphens/>
        <w:spacing w:line="240" w:lineRule="auto"/>
        <w:jc w:val="center"/>
        <w:rPr>
          <w:rFonts w:ascii="Arial" w:hAnsi="Arial" w:cs="Arial"/>
        </w:rPr>
      </w:pPr>
      <w:r w:rsidRPr="0023075A">
        <w:rPr>
          <w:rFonts w:ascii="Arial" w:hAnsi="Arial" w:cs="Arial"/>
        </w:rPr>
        <w:t xml:space="preserve">MÁRCIO AUGUSTO </w:t>
      </w:r>
      <w:r w:rsidR="003B7EF5" w:rsidRPr="0023075A">
        <w:rPr>
          <w:rFonts w:ascii="Arial" w:hAnsi="Arial" w:cs="Arial"/>
        </w:rPr>
        <w:t xml:space="preserve">PESSOA </w:t>
      </w:r>
      <w:r w:rsidRPr="0023075A">
        <w:rPr>
          <w:rFonts w:ascii="Arial" w:hAnsi="Arial" w:cs="Arial"/>
        </w:rPr>
        <w:t xml:space="preserve">AZEVEDO </w:t>
      </w:r>
    </w:p>
    <w:p w:rsidR="00F349E6" w:rsidRPr="0023075A" w:rsidRDefault="000B2B2C" w:rsidP="00A24362">
      <w:pPr>
        <w:pStyle w:val="Standard"/>
        <w:suppressAutoHyphens/>
        <w:spacing w:line="240" w:lineRule="auto"/>
        <w:jc w:val="center"/>
        <w:rPr>
          <w:rFonts w:ascii="Arial" w:hAnsi="Arial" w:cs="Arial"/>
        </w:rPr>
      </w:pPr>
      <w:r w:rsidRPr="0023075A">
        <w:rPr>
          <w:rFonts w:ascii="Arial" w:hAnsi="Arial" w:cs="Arial"/>
        </w:rPr>
        <w:t xml:space="preserve">Diretor Técnico </w:t>
      </w:r>
      <w:r w:rsidR="00802CB9" w:rsidRPr="0023075A">
        <w:rPr>
          <w:rFonts w:ascii="Arial" w:hAnsi="Arial" w:cs="Arial"/>
        </w:rPr>
        <w:t>Operacional</w:t>
      </w:r>
      <w:hyperlink r:id="rId6" w:history="1"/>
    </w:p>
    <w:sectPr w:rsidR="00F349E6" w:rsidRPr="0023075A" w:rsidSect="00513D4A">
      <w:headerReference w:type="default" r:id="rId7"/>
      <w:footerReference w:type="default" r:id="rId8"/>
      <w:pgSz w:w="11906" w:h="16838"/>
      <w:pgMar w:top="1522" w:right="170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45D" w:rsidRDefault="00EC445D">
      <w:pPr>
        <w:spacing w:after="0" w:line="240" w:lineRule="auto"/>
      </w:pPr>
      <w:r>
        <w:separator/>
      </w:r>
    </w:p>
  </w:endnote>
  <w:endnote w:type="continuationSeparator" w:id="1">
    <w:p w:rsidR="00EC445D" w:rsidRDefault="00EC4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5D" w:rsidRDefault="00EC445D">
    <w:pPr>
      <w:pStyle w:val="Rodap"/>
      <w:tabs>
        <w:tab w:val="clear" w:pos="8504"/>
        <w:tab w:val="right" w:pos="8505"/>
      </w:tabs>
      <w:ind w:right="-1"/>
      <w:jc w:val="center"/>
    </w:pPr>
  </w:p>
  <w:p w:rsidR="00EC445D" w:rsidRDefault="00EC445D">
    <w:pPr>
      <w:pStyle w:val="Rodap"/>
      <w:tabs>
        <w:tab w:val="clear" w:pos="8504"/>
        <w:tab w:val="right" w:pos="8505"/>
      </w:tabs>
      <w:ind w:right="-1"/>
      <w:jc w:val="center"/>
    </w:pPr>
    <w:r>
      <w:rPr>
        <w:noProof/>
        <w:lang w:eastAsia="pt-BR"/>
      </w:rPr>
      <w:drawing>
        <wp:anchor distT="0" distB="0" distL="114300" distR="114300" simplePos="0" relativeHeight="251661312" behindDoc="0" locked="0" layoutInCell="1" allowOverlap="1">
          <wp:simplePos x="0" y="0"/>
          <wp:positionH relativeFrom="column">
            <wp:posOffset>4980960</wp:posOffset>
          </wp:positionH>
          <wp:positionV relativeFrom="paragraph">
            <wp:posOffset>60840</wp:posOffset>
          </wp:positionV>
          <wp:extent cx="1021679" cy="640080"/>
          <wp:effectExtent l="0" t="0" r="7021" b="7620"/>
          <wp:wrapSquare wrapText="bothSides"/>
          <wp:docPr id="2" name="figur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21679" cy="640080"/>
                  </a:xfrm>
                  <a:prstGeom prst="rect">
                    <a:avLst/>
                  </a:prstGeom>
                </pic:spPr>
              </pic:pic>
            </a:graphicData>
          </a:graphic>
        </wp:anchor>
      </w:drawing>
    </w:r>
  </w:p>
  <w:p w:rsidR="00EC445D" w:rsidRDefault="00EC445D">
    <w:pPr>
      <w:pStyle w:val="Rodap"/>
      <w:tabs>
        <w:tab w:val="clear" w:pos="8504"/>
        <w:tab w:val="right" w:pos="8505"/>
      </w:tabs>
      <w:ind w:right="-1"/>
      <w:jc w:val="center"/>
    </w:pPr>
  </w:p>
  <w:p w:rsidR="00EC445D" w:rsidRDefault="00EC445D">
    <w:pPr>
      <w:pStyle w:val="Rodap"/>
      <w:tabs>
        <w:tab w:val="clear" w:pos="8504"/>
        <w:tab w:val="right" w:pos="8505"/>
      </w:tabs>
      <w:ind w:right="-1"/>
      <w:jc w:val="center"/>
    </w:pPr>
  </w:p>
  <w:p w:rsidR="00EC445D" w:rsidRDefault="00EC445D">
    <w:pPr>
      <w:pStyle w:val="Rodap"/>
      <w:tabs>
        <w:tab w:val="clear" w:pos="8504"/>
        <w:tab w:val="right" w:pos="8505"/>
      </w:tabs>
      <w:ind w:right="-1"/>
      <w:jc w:val="center"/>
    </w:pPr>
    <w:r>
      <w:rPr>
        <w:rFonts w:ascii="Arial" w:hAnsi="Arial" w:cs="Arial"/>
        <w:b/>
        <w:sz w:val="16"/>
        <w:szCs w:val="16"/>
      </w:rPr>
      <w:t xml:space="preserve">Companhia de Saneamento Municipal - </w:t>
    </w:r>
    <w:proofErr w:type="spellStart"/>
    <w:r>
      <w:rPr>
        <w:rFonts w:ascii="Arial" w:hAnsi="Arial" w:cs="Arial"/>
        <w:b/>
        <w:sz w:val="16"/>
        <w:szCs w:val="16"/>
      </w:rPr>
      <w:t>Cesama</w:t>
    </w:r>
    <w:proofErr w:type="spellEnd"/>
  </w:p>
  <w:p w:rsidR="00EC445D" w:rsidRDefault="00EC445D">
    <w:pPr>
      <w:pStyle w:val="Rodap"/>
      <w:tabs>
        <w:tab w:val="clear" w:pos="8504"/>
        <w:tab w:val="right" w:pos="8505"/>
      </w:tabs>
      <w:ind w:right="-1"/>
      <w:jc w:val="center"/>
      <w:rPr>
        <w:rFonts w:ascii="Arial" w:hAnsi="Arial" w:cs="Arial"/>
        <w:sz w:val="16"/>
        <w:szCs w:val="16"/>
      </w:rPr>
    </w:pPr>
    <w:r>
      <w:rPr>
        <w:rFonts w:ascii="Arial" w:hAnsi="Arial" w:cs="Arial"/>
        <w:sz w:val="16"/>
        <w:szCs w:val="16"/>
      </w:rPr>
      <w:t>Avenida Barão do Rio Branco, 1843/10º andar - Centro</w:t>
    </w:r>
  </w:p>
  <w:p w:rsidR="00EC445D" w:rsidRDefault="00EC445D">
    <w:pPr>
      <w:pStyle w:val="Rodap"/>
      <w:tabs>
        <w:tab w:val="clear" w:pos="8504"/>
        <w:tab w:val="right" w:pos="8505"/>
      </w:tabs>
      <w:ind w:right="-1"/>
      <w:jc w:val="center"/>
      <w:rPr>
        <w:rFonts w:ascii="Arial" w:hAnsi="Arial" w:cs="Arial"/>
        <w:sz w:val="16"/>
        <w:szCs w:val="16"/>
      </w:rPr>
    </w:pPr>
    <w:r>
      <w:rPr>
        <w:rFonts w:ascii="Arial" w:hAnsi="Arial" w:cs="Arial"/>
        <w:sz w:val="16"/>
        <w:szCs w:val="16"/>
      </w:rPr>
      <w:t xml:space="preserve">CEP: 36.013-020 / Juiz de Fora – MG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45D" w:rsidRDefault="00EC445D">
      <w:pPr>
        <w:spacing w:after="0" w:line="240" w:lineRule="auto"/>
      </w:pPr>
      <w:r>
        <w:rPr>
          <w:color w:val="000000"/>
        </w:rPr>
        <w:ptab w:relativeTo="margin" w:alignment="center" w:leader="none"/>
      </w:r>
    </w:p>
  </w:footnote>
  <w:footnote w:type="continuationSeparator" w:id="1">
    <w:p w:rsidR="00EC445D" w:rsidRDefault="00EC44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5D" w:rsidRDefault="00EC445D">
    <w:pPr>
      <w:pStyle w:val="Cabealho"/>
      <w:jc w:val="center"/>
    </w:pPr>
    <w:r>
      <w:rPr>
        <w:noProof/>
        <w:lang w:eastAsia="pt-BR"/>
      </w:rPr>
      <w:drawing>
        <wp:anchor distT="0" distB="0" distL="114300" distR="114300" simplePos="0" relativeHeight="251659264" behindDoc="0" locked="0" layoutInCell="1" allowOverlap="1">
          <wp:simplePos x="0" y="0"/>
          <wp:positionH relativeFrom="column">
            <wp:posOffset>1704960</wp:posOffset>
          </wp:positionH>
          <wp:positionV relativeFrom="paragraph">
            <wp:posOffset>32400</wp:posOffset>
          </wp:positionV>
          <wp:extent cx="1990800" cy="417960"/>
          <wp:effectExtent l="0" t="0" r="9450" b="1140"/>
          <wp:wrapSquare wrapText="bothSides"/>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90800" cy="41796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footnotePr>
    <w:footnote w:id="0"/>
    <w:footnote w:id="1"/>
  </w:footnotePr>
  <w:endnotePr>
    <w:endnote w:id="0"/>
    <w:endnote w:id="1"/>
  </w:endnotePr>
  <w:compat/>
  <w:rsids>
    <w:rsidRoot w:val="00F349E6"/>
    <w:rsid w:val="000B2B2C"/>
    <w:rsid w:val="000D4A84"/>
    <w:rsid w:val="000E77FF"/>
    <w:rsid w:val="001850DB"/>
    <w:rsid w:val="001E1B6C"/>
    <w:rsid w:val="0023075A"/>
    <w:rsid w:val="003B7EF5"/>
    <w:rsid w:val="003E3D8F"/>
    <w:rsid w:val="003F51E5"/>
    <w:rsid w:val="004F26BB"/>
    <w:rsid w:val="00513D4A"/>
    <w:rsid w:val="00530F6F"/>
    <w:rsid w:val="00576649"/>
    <w:rsid w:val="00582067"/>
    <w:rsid w:val="00613E86"/>
    <w:rsid w:val="00802CB9"/>
    <w:rsid w:val="00894048"/>
    <w:rsid w:val="0090678F"/>
    <w:rsid w:val="009160B8"/>
    <w:rsid w:val="009E21A3"/>
    <w:rsid w:val="00A24362"/>
    <w:rsid w:val="00A9536C"/>
    <w:rsid w:val="00AA7FEC"/>
    <w:rsid w:val="00AB4826"/>
    <w:rsid w:val="00BD5FE4"/>
    <w:rsid w:val="00CA0D0B"/>
    <w:rsid w:val="00E8119A"/>
    <w:rsid w:val="00EC445D"/>
    <w:rsid w:val="00F349E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5FE4"/>
    <w:pPr>
      <w:suppressAutoHyphens/>
    </w:pPr>
  </w:style>
  <w:style w:type="paragraph" w:styleId="Ttulo3">
    <w:name w:val="heading 3"/>
    <w:basedOn w:val="Standard"/>
    <w:next w:val="Standard"/>
    <w:rsid w:val="00BD5FE4"/>
    <w:pPr>
      <w:keepNext/>
      <w:ind w:right="-93"/>
      <w:jc w:val="center"/>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BD5FE4"/>
  </w:style>
  <w:style w:type="paragraph" w:styleId="Cabealho">
    <w:name w:val="header"/>
    <w:basedOn w:val="Normal"/>
    <w:rsid w:val="00BD5FE4"/>
    <w:pPr>
      <w:tabs>
        <w:tab w:val="center" w:pos="4252"/>
        <w:tab w:val="right" w:pos="8504"/>
      </w:tabs>
      <w:spacing w:after="0" w:line="240" w:lineRule="auto"/>
    </w:pPr>
  </w:style>
  <w:style w:type="paragraph" w:styleId="Rodap">
    <w:name w:val="footer"/>
    <w:basedOn w:val="Normal"/>
    <w:rsid w:val="00BD5FE4"/>
    <w:pPr>
      <w:tabs>
        <w:tab w:val="center" w:pos="4252"/>
        <w:tab w:val="right" w:pos="8504"/>
      </w:tabs>
      <w:spacing w:after="0" w:line="240" w:lineRule="auto"/>
    </w:pPr>
  </w:style>
  <w:style w:type="paragraph" w:styleId="Textodebalo">
    <w:name w:val="Balloon Text"/>
    <w:basedOn w:val="Normal"/>
    <w:rsid w:val="00BD5FE4"/>
    <w:pPr>
      <w:spacing w:after="0" w:line="240" w:lineRule="auto"/>
    </w:pPr>
    <w:rPr>
      <w:rFonts w:ascii="Segoe UI" w:hAnsi="Segoe UI" w:cs="Segoe UI"/>
      <w:sz w:val="18"/>
      <w:szCs w:val="18"/>
    </w:rPr>
  </w:style>
  <w:style w:type="character" w:customStyle="1" w:styleId="CabealhoChar">
    <w:name w:val="Cabeçalho Char"/>
    <w:basedOn w:val="Fontepargpadro"/>
    <w:rsid w:val="00BD5FE4"/>
  </w:style>
  <w:style w:type="character" w:customStyle="1" w:styleId="RodapChar">
    <w:name w:val="Rodapé Char"/>
    <w:basedOn w:val="Fontepargpadro"/>
    <w:rsid w:val="00BD5FE4"/>
  </w:style>
  <w:style w:type="character" w:customStyle="1" w:styleId="TextodebaloChar">
    <w:name w:val="Texto de balão Char"/>
    <w:basedOn w:val="Fontepargpadro"/>
    <w:rsid w:val="00BD5FE4"/>
    <w:rPr>
      <w:rFonts w:ascii="Segoe UI" w:hAnsi="Segoe UI" w:cs="Segoe UI"/>
      <w:sz w:val="18"/>
      <w:szCs w:val="18"/>
    </w:rPr>
  </w:style>
  <w:style w:type="character" w:customStyle="1" w:styleId="Internetlink">
    <w:name w:val="Internet link"/>
    <w:rsid w:val="00BD5FE4"/>
    <w:rPr>
      <w:color w:val="000080"/>
      <w:u w:val="single"/>
    </w:rPr>
  </w:style>
  <w:style w:type="character" w:customStyle="1" w:styleId="BulletSymbols">
    <w:name w:val="Bullet Symbols"/>
    <w:rsid w:val="00BD5FE4"/>
    <w:rPr>
      <w:rFonts w:ascii="OpenSymbol" w:eastAsia="OpenSymbol" w:hAnsi="OpenSymbol" w:cs="Open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3">
    <w:name w:val="heading 3"/>
    <w:basedOn w:val="Standard"/>
    <w:next w:val="Standard"/>
    <w:pPr>
      <w:keepNext/>
      <w:ind w:right="-93"/>
      <w:jc w:val="center"/>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style>
  <w:style w:type="paragraph" w:styleId="Cabealho">
    <w:name w:val="header"/>
    <w:basedOn w:val="Normal"/>
    <w:pPr>
      <w:tabs>
        <w:tab w:val="center" w:pos="4252"/>
        <w:tab w:val="right" w:pos="8504"/>
      </w:tabs>
      <w:spacing w:after="0" w:line="240" w:lineRule="auto"/>
    </w:pPr>
  </w:style>
  <w:style w:type="paragraph" w:styleId="Rodap">
    <w:name w:val="footer"/>
    <w:basedOn w:val="Normal"/>
    <w:pPr>
      <w:tabs>
        <w:tab w:val="center" w:pos="4252"/>
        <w:tab w:val="right" w:pos="8504"/>
      </w:tabs>
      <w:spacing w:after="0" w:line="240" w:lineRule="auto"/>
    </w:pPr>
  </w:style>
  <w:style w:type="paragraph" w:styleId="Textodebalo">
    <w:name w:val="Balloon Text"/>
    <w:basedOn w:val="Normal"/>
    <w:pPr>
      <w:spacing w:after="0" w:line="240" w:lineRule="auto"/>
    </w:pPr>
    <w:rPr>
      <w:rFonts w:ascii="Segoe UI" w:hAnsi="Segoe UI" w:cs="Segoe UI"/>
      <w:sz w:val="18"/>
      <w:szCs w:val="18"/>
    </w:rPr>
  </w:style>
  <w:style w:type="character" w:customStyle="1" w:styleId="CabealhoChar">
    <w:name w:val="Cabeçalho Char"/>
    <w:basedOn w:val="Fontepargpadro"/>
  </w:style>
  <w:style w:type="character" w:customStyle="1" w:styleId="RodapChar">
    <w:name w:val="Rodapé Char"/>
    <w:basedOn w:val="Fontepargpadro"/>
  </w:style>
  <w:style w:type="character" w:customStyle="1" w:styleId="TextodebaloChar">
    <w:name w:val="Texto de balão Char"/>
    <w:basedOn w:val="Fontepargpadro"/>
    <w:rPr>
      <w:rFonts w:ascii="Segoe UI" w:hAnsi="Segoe UI" w:cs="Segoe UI"/>
      <w:sz w:val="18"/>
      <w:szCs w:val="18"/>
    </w:r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metro.gov.br/laboratorios/rble/"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4190</Words>
  <Characters>22628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7</cp:revision>
  <cp:lastPrinted>2017-05-31T16:36:00Z</cp:lastPrinted>
  <dcterms:created xsi:type="dcterms:W3CDTF">2020-07-31T18:46:00Z</dcterms:created>
  <dcterms:modified xsi:type="dcterms:W3CDTF">2020-08-31T12:27:00Z</dcterms:modified>
</cp:coreProperties>
</file>