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76D" w:rsidRDefault="0022276D" w:rsidP="00876FB4">
      <w:pPr>
        <w:tabs>
          <w:tab w:val="left" w:pos="7371"/>
        </w:tabs>
        <w:spacing w:before="120" w:after="0" w:line="360" w:lineRule="auto"/>
        <w:ind w:right="-143"/>
        <w:jc w:val="center"/>
        <w:rPr>
          <w:rFonts w:ascii="Arial" w:hAnsi="Arial" w:cs="Arial"/>
          <w:b/>
          <w:sz w:val="24"/>
          <w:szCs w:val="24"/>
        </w:rPr>
      </w:pPr>
    </w:p>
    <w:p w:rsidR="0022276D" w:rsidRPr="0022276D" w:rsidRDefault="00BC4F7B" w:rsidP="00876FB4">
      <w:pPr>
        <w:tabs>
          <w:tab w:val="left" w:pos="7371"/>
        </w:tabs>
        <w:spacing w:before="120" w:after="0" w:line="360" w:lineRule="auto"/>
        <w:ind w:right="-143"/>
        <w:jc w:val="center"/>
        <w:rPr>
          <w:rFonts w:ascii="Arial" w:hAnsi="Arial" w:cs="Arial"/>
          <w:b/>
          <w:sz w:val="24"/>
          <w:szCs w:val="24"/>
        </w:rPr>
      </w:pPr>
      <w:r w:rsidRPr="0022276D">
        <w:rPr>
          <w:rFonts w:ascii="Arial" w:hAnsi="Arial" w:cs="Arial"/>
          <w:b/>
          <w:sz w:val="24"/>
          <w:szCs w:val="24"/>
        </w:rPr>
        <w:t xml:space="preserve">APÊNDICE XV </w:t>
      </w:r>
    </w:p>
    <w:p w:rsidR="00BC4F7B" w:rsidRDefault="00BC4F7B" w:rsidP="00876FB4">
      <w:pPr>
        <w:tabs>
          <w:tab w:val="left" w:pos="7371"/>
        </w:tabs>
        <w:spacing w:before="120" w:after="0" w:line="360" w:lineRule="auto"/>
        <w:ind w:right="-143"/>
        <w:jc w:val="center"/>
        <w:rPr>
          <w:rFonts w:ascii="Arial" w:hAnsi="Arial" w:cs="Arial"/>
          <w:b/>
          <w:sz w:val="24"/>
          <w:szCs w:val="24"/>
          <w:u w:val="single"/>
        </w:rPr>
      </w:pPr>
      <w:r w:rsidRPr="0022276D">
        <w:rPr>
          <w:rFonts w:ascii="Arial" w:hAnsi="Arial" w:cs="Arial"/>
          <w:b/>
          <w:sz w:val="24"/>
          <w:szCs w:val="24"/>
          <w:u w:val="single"/>
        </w:rPr>
        <w:t>NIVEL DE ACORDO DE SERVIÇOS</w:t>
      </w:r>
      <w:r w:rsidR="00D20700" w:rsidRPr="0022276D">
        <w:rPr>
          <w:rFonts w:ascii="Arial" w:hAnsi="Arial" w:cs="Arial"/>
          <w:b/>
          <w:sz w:val="24"/>
          <w:szCs w:val="24"/>
          <w:u w:val="single"/>
        </w:rPr>
        <w:t xml:space="preserve"> </w:t>
      </w:r>
    </w:p>
    <w:p w:rsidR="0022276D" w:rsidRDefault="0022276D" w:rsidP="00876FB4">
      <w:pPr>
        <w:tabs>
          <w:tab w:val="left" w:pos="7371"/>
        </w:tabs>
        <w:spacing w:before="120" w:after="0" w:line="360" w:lineRule="auto"/>
        <w:ind w:right="-143"/>
        <w:jc w:val="center"/>
        <w:rPr>
          <w:rFonts w:ascii="Arial" w:hAnsi="Arial" w:cs="Arial"/>
          <w:b/>
          <w:sz w:val="24"/>
          <w:szCs w:val="24"/>
          <w:u w:val="single"/>
        </w:rPr>
      </w:pPr>
    </w:p>
    <w:p w:rsidR="00DB6E47" w:rsidRPr="00DB6E47" w:rsidRDefault="00DB6E47" w:rsidP="00876FB4">
      <w:pPr>
        <w:numPr>
          <w:ilvl w:val="0"/>
          <w:numId w:val="3"/>
        </w:numPr>
        <w:tabs>
          <w:tab w:val="left" w:pos="7371"/>
        </w:tabs>
        <w:suppressAutoHyphens/>
        <w:spacing w:before="120" w:after="0" w:line="360" w:lineRule="auto"/>
        <w:ind w:right="-143"/>
        <w:jc w:val="both"/>
        <w:rPr>
          <w:rFonts w:ascii="Arial" w:eastAsia="Times New Roman" w:hAnsi="Arial" w:cs="Arial"/>
          <w:b/>
          <w:bCs/>
          <w:sz w:val="24"/>
          <w:szCs w:val="24"/>
          <w:lang w:eastAsia="ar-SA"/>
        </w:rPr>
      </w:pPr>
      <w:r w:rsidRPr="00DB6E47">
        <w:rPr>
          <w:rFonts w:ascii="Arial" w:eastAsia="Times New Roman" w:hAnsi="Arial" w:cs="Arial"/>
          <w:b/>
          <w:bCs/>
          <w:sz w:val="24"/>
          <w:szCs w:val="24"/>
          <w:lang w:eastAsia="ar-SA"/>
        </w:rPr>
        <w:t>ACORDO DE NÍVEL DE SERVIÇO</w:t>
      </w:r>
    </w:p>
    <w:p w:rsidR="00DB6E47" w:rsidRPr="00DB6E47" w:rsidRDefault="00DB6E47" w:rsidP="00876FB4">
      <w:pPr>
        <w:numPr>
          <w:ilvl w:val="1"/>
          <w:numId w:val="3"/>
        </w:numPr>
        <w:tabs>
          <w:tab w:val="left" w:pos="7371"/>
        </w:tabs>
        <w:suppressAutoHyphens/>
        <w:spacing w:before="120" w:after="0" w:line="360" w:lineRule="auto"/>
        <w:ind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 xml:space="preserve"> Entende-se por Acordo de Nível de Serviço (ANS) o ajuste escrito que define, em bases compreensíveis, tangíveis, objetivamente observáveis e comprováveis, os níveis esperados</w:t>
      </w:r>
      <w:r w:rsidR="00654837">
        <w:rPr>
          <w:rFonts w:ascii="Arial" w:eastAsia="Times New Roman" w:hAnsi="Arial" w:cs="Arial"/>
          <w:sz w:val="24"/>
          <w:szCs w:val="24"/>
          <w:lang w:eastAsia="ar-SA"/>
        </w:rPr>
        <w:t xml:space="preserve"> </w:t>
      </w:r>
      <w:r w:rsidRPr="00DB6E47">
        <w:rPr>
          <w:rFonts w:ascii="Arial" w:eastAsia="Times New Roman" w:hAnsi="Arial" w:cs="Arial"/>
          <w:sz w:val="24"/>
          <w:szCs w:val="24"/>
          <w:lang w:eastAsia="ar-SA"/>
        </w:rPr>
        <w:t>de qualidade da execução dos serviços e respectivas adequações de pagamento.</w:t>
      </w:r>
    </w:p>
    <w:p w:rsidR="00DB6E47" w:rsidRPr="00DB6E47" w:rsidRDefault="00DB6E47" w:rsidP="00876FB4">
      <w:pPr>
        <w:numPr>
          <w:ilvl w:val="1"/>
          <w:numId w:val="3"/>
        </w:numPr>
        <w:tabs>
          <w:tab w:val="left" w:pos="7371"/>
        </w:tabs>
        <w:suppressAutoHyphens/>
        <w:spacing w:before="120" w:after="0" w:line="360" w:lineRule="auto"/>
        <w:ind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A CONTRATADA estará sujeita à retenção ou glosa no pagamento, prevista neste Acordo de Nível de Serviço, sem prejuízo das sanções cabíveis, quando:</w:t>
      </w:r>
    </w:p>
    <w:p w:rsidR="00DB6E47" w:rsidRPr="00DB6E47" w:rsidRDefault="00DB6E47" w:rsidP="00876FB4">
      <w:pPr>
        <w:numPr>
          <w:ilvl w:val="0"/>
          <w:numId w:val="1"/>
        </w:numPr>
        <w:tabs>
          <w:tab w:val="left" w:pos="7371"/>
        </w:tabs>
        <w:suppressAutoHyphens/>
        <w:spacing w:before="120" w:after="0" w:line="360" w:lineRule="auto"/>
        <w:ind w:left="567" w:right="-143" w:hanging="28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Não produzir os resultados, deixar de executar, ou não executar com a qualidade mínima exigida as atividades contratadas; ou</w:t>
      </w:r>
    </w:p>
    <w:p w:rsidR="00DB6E47" w:rsidRPr="00DB6E47" w:rsidRDefault="00DB6E47" w:rsidP="00876FB4">
      <w:pPr>
        <w:numPr>
          <w:ilvl w:val="0"/>
          <w:numId w:val="1"/>
        </w:numPr>
        <w:tabs>
          <w:tab w:val="left" w:pos="7371"/>
        </w:tabs>
        <w:suppressAutoHyphens/>
        <w:spacing w:before="120" w:after="0" w:line="360" w:lineRule="auto"/>
        <w:ind w:left="567" w:right="-143" w:hanging="28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Deixar de utilizar materiais e recursos humanos exigidos para a execução da prestação de serviços ou utilizá-los com qualidade ou quantidade inferior à demandada.</w:t>
      </w:r>
    </w:p>
    <w:p w:rsidR="009A46EC" w:rsidRDefault="00DB6E47" w:rsidP="00876FB4">
      <w:pPr>
        <w:numPr>
          <w:ilvl w:val="1"/>
          <w:numId w:val="3"/>
        </w:numPr>
        <w:tabs>
          <w:tab w:val="left" w:pos="7371"/>
        </w:tabs>
        <w:suppressAutoHyphens/>
        <w:spacing w:before="120" w:after="0" w:line="360" w:lineRule="auto"/>
        <w:ind w:right="-143"/>
        <w:jc w:val="both"/>
        <w:rPr>
          <w:rFonts w:ascii="Arial" w:eastAsia="Times New Roman" w:hAnsi="Arial" w:cs="Arial"/>
          <w:sz w:val="24"/>
          <w:szCs w:val="24"/>
          <w:lang w:eastAsia="ar-SA"/>
        </w:rPr>
      </w:pPr>
      <w:r w:rsidRPr="009A46EC">
        <w:rPr>
          <w:rFonts w:ascii="Arial" w:eastAsia="Times New Roman" w:hAnsi="Arial" w:cs="Arial"/>
          <w:sz w:val="24"/>
          <w:szCs w:val="24"/>
          <w:lang w:eastAsia="ar-SA"/>
        </w:rPr>
        <w:t xml:space="preserve">Será utilizado como instrumento de medição o Sistema Comercial da CESAMA, que controla através de rotinas automáticas a quantidade e a qualidade dos serviços prestados, devolvendo as possíveis não conformidades dos serviços para a correção. </w:t>
      </w:r>
    </w:p>
    <w:p w:rsidR="00DB6E47" w:rsidRPr="009A46EC" w:rsidRDefault="00DB6E47" w:rsidP="00876FB4">
      <w:pPr>
        <w:numPr>
          <w:ilvl w:val="1"/>
          <w:numId w:val="3"/>
        </w:numPr>
        <w:tabs>
          <w:tab w:val="left" w:pos="7371"/>
        </w:tabs>
        <w:suppressAutoHyphens/>
        <w:spacing w:before="120" w:after="0" w:line="360" w:lineRule="auto"/>
        <w:ind w:right="-143"/>
        <w:jc w:val="both"/>
        <w:rPr>
          <w:rFonts w:ascii="Arial" w:eastAsia="Times New Roman" w:hAnsi="Arial" w:cs="Arial"/>
          <w:sz w:val="24"/>
          <w:szCs w:val="24"/>
          <w:lang w:eastAsia="ar-SA"/>
        </w:rPr>
      </w:pPr>
      <w:r w:rsidRPr="009A46EC">
        <w:rPr>
          <w:rFonts w:ascii="Arial" w:eastAsia="Times New Roman" w:hAnsi="Arial" w:cs="Arial"/>
          <w:sz w:val="24"/>
          <w:szCs w:val="24"/>
          <w:lang w:eastAsia="ar-SA"/>
        </w:rPr>
        <w:t>Forma de acompanhamento: o fiscal do Contrato deverá acompanhar diariamente a prestação dos serviços (conforme atividades descritas no Termo de Referência) observando os indicadores de desempenho relacionados nas alíneas abaixo, registrando as ocorrências de não conformidade observadas. Cada ocorrência de não conformidade deverá ser registrada e informada na ocasião (via e-mail) ao preposto da CONTRATADA, com cópia para o gestor do contrato para ciência.</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lastRenderedPageBreak/>
        <w:t>Frequência e regularidade da execução dos serviços: número de cortes, religações e restabelecimentos disponibilizados automaticamente pelos arquivos, os quais não foram efetivamente realizados e aceitos;</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Prazo do cronograma de corte: número de cortes de cada região que não forem realizados seguindo os prazos pré-determinados no calendário, data de processamento (recebimento de todos os arquivos de retorno);</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Prazo de cortes, religações e restabelecimentos: número de serviços executados, fora do prazo máximo de 10 (dez) horas, após a disponibilização do arquivo enviado pela CESAMA. Os arquivos serão disponibilizados no período da manhã até as 8h e devolvidos pela Contratada até as 18h do mesmo dia;</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Erros nos cortes/religações/restabelecimentos ou revisão: número de serviços executados com quaisquer tipos de erros;</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Códigos de Ocorrência (anormalidades/irregularidades): número de cortes/religações/restabelecimentos finalizados com emissão de códigos de ocorrência informados indevidamente (não correspondentes ao encontrado em campo);</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Qualidade do serviço: número de serviços executados com má qualidade;</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b/>
          <w:sz w:val="24"/>
          <w:szCs w:val="24"/>
          <w:lang w:eastAsia="ar-SA"/>
        </w:rPr>
      </w:pPr>
      <w:r w:rsidRPr="004A6C66">
        <w:rPr>
          <w:rFonts w:ascii="Arial" w:eastAsia="Times New Roman" w:hAnsi="Arial" w:cs="Arial"/>
          <w:sz w:val="24"/>
          <w:szCs w:val="24"/>
          <w:lang w:eastAsia="ar-SA"/>
        </w:rPr>
        <w:t xml:space="preserve">Utilização de equipamentos não </w:t>
      </w:r>
      <w:proofErr w:type="gramStart"/>
      <w:r w:rsidRPr="004A6C66">
        <w:rPr>
          <w:rFonts w:ascii="Arial" w:eastAsia="Times New Roman" w:hAnsi="Arial" w:cs="Arial"/>
          <w:sz w:val="24"/>
          <w:szCs w:val="24"/>
          <w:lang w:eastAsia="ar-SA"/>
        </w:rPr>
        <w:t>aprovados/homologados</w:t>
      </w:r>
      <w:proofErr w:type="gramEnd"/>
      <w:r w:rsidRPr="004A6C66">
        <w:rPr>
          <w:rFonts w:ascii="Arial" w:eastAsia="Times New Roman" w:hAnsi="Arial" w:cs="Arial"/>
          <w:sz w:val="24"/>
          <w:szCs w:val="24"/>
          <w:lang w:eastAsia="ar-SA"/>
        </w:rPr>
        <w:t xml:space="preserve"> pela CESAMA: número de serviços executados com uso de </w:t>
      </w:r>
      <w:r w:rsidRPr="004A6C66">
        <w:rPr>
          <w:rFonts w:ascii="Arial" w:eastAsia="Times New Roman" w:hAnsi="Arial" w:cs="Arial"/>
          <w:sz w:val="24"/>
          <w:szCs w:val="24"/>
          <w:lang w:eastAsia="pt-BR"/>
        </w:rPr>
        <w:t xml:space="preserve">equipamentos de registro que </w:t>
      </w:r>
      <w:r w:rsidRPr="004A6C66">
        <w:rPr>
          <w:rFonts w:ascii="Arial" w:eastAsia="Times New Roman" w:hAnsi="Arial" w:cs="Arial"/>
          <w:sz w:val="24"/>
          <w:szCs w:val="24"/>
          <w:lang w:eastAsia="ar-SA"/>
        </w:rPr>
        <w:t>não estejam relacionados na lista de equipamentos aprovados, homologados e liberados pela CESAMA;</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 xml:space="preserve">Apresentação e uso inadequado de uniforme e </w:t>
      </w:r>
      <w:proofErr w:type="spellStart"/>
      <w:r w:rsidRPr="004A6C66">
        <w:rPr>
          <w:rFonts w:ascii="Arial" w:eastAsia="Times New Roman" w:hAnsi="Arial" w:cs="Arial"/>
          <w:sz w:val="24"/>
          <w:szCs w:val="24"/>
          <w:lang w:eastAsia="ar-SA"/>
        </w:rPr>
        <w:t>EPIs</w:t>
      </w:r>
      <w:proofErr w:type="spellEnd"/>
      <w:r w:rsidRPr="004A6C66">
        <w:rPr>
          <w:rFonts w:ascii="Arial" w:eastAsia="Times New Roman" w:hAnsi="Arial" w:cs="Arial"/>
          <w:sz w:val="24"/>
          <w:szCs w:val="24"/>
          <w:lang w:eastAsia="ar-SA"/>
        </w:rPr>
        <w:t>: número de serviços executados realizados na rota por bombeiros sem uso de uniforme, identificação da empresa de vínculo ou equipamentos de proteção individual;</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Tolerância para execução dos serviços: serão consideradas como toleráveis até 5% (cinco por cento) de serviços não executados,</w:t>
      </w:r>
      <w:r w:rsidR="00481709" w:rsidRPr="004A6C66">
        <w:rPr>
          <w:rFonts w:ascii="Arial" w:eastAsia="Times New Roman" w:hAnsi="Arial" w:cs="Arial"/>
          <w:sz w:val="24"/>
          <w:szCs w:val="24"/>
          <w:lang w:eastAsia="ar-SA"/>
        </w:rPr>
        <w:t xml:space="preserve"> </w:t>
      </w:r>
      <w:r w:rsidRPr="004A6C66">
        <w:rPr>
          <w:rFonts w:ascii="Arial" w:eastAsia="Times New Roman" w:hAnsi="Arial" w:cs="Arial"/>
          <w:sz w:val="24"/>
          <w:szCs w:val="24"/>
          <w:lang w:eastAsia="ar-SA"/>
        </w:rPr>
        <w:t>onde constem informações de Código de Ocorrência que impossibilitou a execução do serviço, em relação ao número total de serviços emitidos;</w:t>
      </w:r>
    </w:p>
    <w:p w:rsidR="00DB6E47" w:rsidRPr="00DB6E47" w:rsidRDefault="00DB6E47" w:rsidP="00876FB4">
      <w:pPr>
        <w:tabs>
          <w:tab w:val="left" w:pos="7371"/>
        </w:tabs>
        <w:suppressAutoHyphens/>
        <w:spacing w:before="120" w:after="0" w:line="360" w:lineRule="auto"/>
        <w:ind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A periodicidade das avaliações será mensal.</w:t>
      </w:r>
    </w:p>
    <w:p w:rsidR="00DB6E47" w:rsidRPr="00DB6E47" w:rsidRDefault="00DB6E47" w:rsidP="00876FB4">
      <w:pPr>
        <w:numPr>
          <w:ilvl w:val="1"/>
          <w:numId w:val="3"/>
        </w:numPr>
        <w:tabs>
          <w:tab w:val="left" w:pos="7371"/>
        </w:tabs>
        <w:suppressAutoHyphens/>
        <w:spacing w:before="120" w:after="0" w:line="360" w:lineRule="auto"/>
        <w:ind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lastRenderedPageBreak/>
        <w:t>Mecanismo de cálculo: o fiscal do contrato da CESAMA deverá registrar as ocorrências de não conformidades observadas no acompanhamento da execução dos serviços para, ao final do período medido,</w:t>
      </w:r>
      <w:r w:rsidR="0049773D">
        <w:rPr>
          <w:rFonts w:ascii="Arial" w:eastAsia="Times New Roman" w:hAnsi="Arial" w:cs="Arial"/>
          <w:sz w:val="24"/>
          <w:szCs w:val="24"/>
          <w:lang w:eastAsia="ar-SA"/>
        </w:rPr>
        <w:t xml:space="preserve"> </w:t>
      </w:r>
      <w:r w:rsidRPr="00DB6E47">
        <w:rPr>
          <w:rFonts w:ascii="Arial" w:eastAsia="Times New Roman" w:hAnsi="Arial" w:cs="Arial"/>
          <w:iCs/>
          <w:sz w:val="24"/>
          <w:szCs w:val="24"/>
          <w:lang w:eastAsia="ar-SA"/>
        </w:rPr>
        <w:t xml:space="preserve">compreendido entre os dias </w:t>
      </w:r>
      <w:r w:rsidR="00C26F24">
        <w:rPr>
          <w:rFonts w:ascii="Arial" w:eastAsia="Times New Roman" w:hAnsi="Arial" w:cs="Arial"/>
          <w:iCs/>
          <w:sz w:val="24"/>
          <w:szCs w:val="24"/>
          <w:lang w:eastAsia="ar-SA"/>
        </w:rPr>
        <w:t>01</w:t>
      </w:r>
      <w:r w:rsidRPr="00DB6E47">
        <w:rPr>
          <w:rFonts w:ascii="Arial" w:eastAsia="Times New Roman" w:hAnsi="Arial" w:cs="Arial"/>
          <w:iCs/>
          <w:sz w:val="24"/>
          <w:szCs w:val="24"/>
          <w:lang w:eastAsia="ar-SA"/>
        </w:rPr>
        <w:t xml:space="preserve"> a </w:t>
      </w:r>
      <w:r w:rsidR="00C26F24">
        <w:rPr>
          <w:rFonts w:ascii="Arial" w:eastAsia="Times New Roman" w:hAnsi="Arial" w:cs="Arial"/>
          <w:iCs/>
          <w:sz w:val="24"/>
          <w:szCs w:val="24"/>
          <w:lang w:eastAsia="ar-SA"/>
        </w:rPr>
        <w:t>30(31)</w:t>
      </w:r>
      <w:r w:rsidRPr="00DB6E47">
        <w:rPr>
          <w:rFonts w:ascii="Arial" w:eastAsia="Times New Roman" w:hAnsi="Arial" w:cs="Arial"/>
          <w:iCs/>
          <w:sz w:val="24"/>
          <w:szCs w:val="24"/>
          <w:lang w:eastAsia="ar-SA"/>
        </w:rPr>
        <w:t xml:space="preserve"> do mês seguinte</w:t>
      </w:r>
      <w:r w:rsidRPr="00DB6E47">
        <w:rPr>
          <w:rFonts w:ascii="Arial" w:eastAsia="Times New Roman" w:hAnsi="Arial" w:cs="Arial"/>
          <w:sz w:val="24"/>
          <w:szCs w:val="24"/>
          <w:lang w:eastAsia="ar-SA"/>
        </w:rPr>
        <w:t>, valorá-las e determinar a Avaliação Mensal de Conformidade (AMC).</w:t>
      </w:r>
    </w:p>
    <w:p w:rsidR="00DB6E47" w:rsidRPr="00DB6E47" w:rsidRDefault="0022276D" w:rsidP="00876FB4">
      <w:pPr>
        <w:tabs>
          <w:tab w:val="left" w:pos="851"/>
          <w:tab w:val="left" w:pos="7371"/>
        </w:tabs>
        <w:suppressAutoHyphens/>
        <w:spacing w:before="120" w:after="0" w:line="360" w:lineRule="auto"/>
        <w:ind w:right="-143"/>
        <w:jc w:val="both"/>
        <w:rPr>
          <w:rFonts w:ascii="Arial" w:eastAsia="Times New Roman" w:hAnsi="Arial" w:cs="Arial"/>
          <w:sz w:val="24"/>
          <w:szCs w:val="24"/>
          <w:lang w:eastAsia="ar-SA"/>
        </w:rPr>
      </w:pPr>
      <w:r>
        <w:rPr>
          <w:rFonts w:ascii="Arial" w:eastAsia="Times New Roman" w:hAnsi="Arial" w:cs="Arial"/>
          <w:sz w:val="24"/>
          <w:szCs w:val="24"/>
          <w:lang w:eastAsia="ar-SA"/>
        </w:rPr>
        <w:t>1</w:t>
      </w:r>
      <w:r w:rsidR="00876FB4">
        <w:rPr>
          <w:rFonts w:ascii="Arial" w:eastAsia="Times New Roman" w:hAnsi="Arial" w:cs="Arial"/>
          <w:sz w:val="24"/>
          <w:szCs w:val="24"/>
          <w:lang w:eastAsia="ar-SA"/>
        </w:rPr>
        <w:t xml:space="preserve">.5.1. </w:t>
      </w:r>
      <w:r w:rsidR="00DB6E47" w:rsidRPr="00DB6E47">
        <w:rPr>
          <w:rFonts w:ascii="Arial" w:eastAsia="Times New Roman" w:hAnsi="Arial" w:cs="Arial"/>
          <w:sz w:val="24"/>
          <w:szCs w:val="24"/>
          <w:lang w:eastAsia="ar-SA"/>
        </w:rPr>
        <w:t xml:space="preserve">Cada ocorrência de não conformidade observada pelo fiscal do Contrato da CESAMA deverá ser registrada em documento/ arquivo próprio e informada na ocasião (via e-mail) ao preposto da CONTRATADA, com cópia ao Gestor do Contrato. O preposto da CONTRATADA terá </w:t>
      </w:r>
      <w:proofErr w:type="gramStart"/>
      <w:r w:rsidR="00DB6E47" w:rsidRPr="00DB6E47">
        <w:rPr>
          <w:rFonts w:ascii="Arial" w:eastAsia="Times New Roman" w:hAnsi="Arial" w:cs="Arial"/>
          <w:sz w:val="24"/>
          <w:szCs w:val="24"/>
          <w:lang w:eastAsia="ar-SA"/>
        </w:rPr>
        <w:t>2</w:t>
      </w:r>
      <w:proofErr w:type="gramEnd"/>
      <w:r w:rsidR="0049773D">
        <w:rPr>
          <w:rFonts w:ascii="Arial" w:eastAsia="Times New Roman" w:hAnsi="Arial" w:cs="Arial"/>
          <w:sz w:val="24"/>
          <w:szCs w:val="24"/>
          <w:lang w:eastAsia="ar-SA"/>
        </w:rPr>
        <w:t xml:space="preserve"> </w:t>
      </w:r>
      <w:r w:rsidR="00DB6E47" w:rsidRPr="00DB6E47">
        <w:rPr>
          <w:rFonts w:ascii="Arial" w:eastAsia="Times New Roman" w:hAnsi="Arial" w:cs="Arial"/>
          <w:sz w:val="24"/>
          <w:szCs w:val="24"/>
          <w:lang w:eastAsia="ar-SA"/>
        </w:rPr>
        <w:t>(dois) dias úteis para elaborar o contraditório em relação à determinação do fiscal do contrato, caso não concorde com a Avaliação.</w:t>
      </w:r>
    </w:p>
    <w:p w:rsidR="00DB6E47" w:rsidRPr="00DB6E47" w:rsidRDefault="0022276D" w:rsidP="00876FB4">
      <w:pPr>
        <w:tabs>
          <w:tab w:val="left" w:pos="851"/>
          <w:tab w:val="left" w:pos="7371"/>
        </w:tabs>
        <w:suppressAutoHyphens/>
        <w:spacing w:before="120" w:after="0" w:line="360" w:lineRule="auto"/>
        <w:ind w:right="-143"/>
        <w:jc w:val="both"/>
        <w:rPr>
          <w:rFonts w:ascii="Arial" w:eastAsia="Times New Roman" w:hAnsi="Arial" w:cs="Arial"/>
          <w:sz w:val="24"/>
          <w:szCs w:val="24"/>
          <w:lang w:eastAsia="ar-SA"/>
        </w:rPr>
      </w:pPr>
      <w:r>
        <w:rPr>
          <w:rFonts w:ascii="Arial" w:eastAsia="Times New Roman" w:hAnsi="Arial" w:cs="Arial"/>
          <w:sz w:val="24"/>
          <w:szCs w:val="24"/>
          <w:lang w:eastAsia="ar-SA"/>
        </w:rPr>
        <w:t>1</w:t>
      </w:r>
      <w:r w:rsidR="00876FB4">
        <w:rPr>
          <w:rFonts w:ascii="Arial" w:eastAsia="Times New Roman" w:hAnsi="Arial" w:cs="Arial"/>
          <w:sz w:val="24"/>
          <w:szCs w:val="24"/>
          <w:lang w:eastAsia="ar-SA"/>
        </w:rPr>
        <w:t>.5.2</w:t>
      </w:r>
      <w:r>
        <w:rPr>
          <w:rFonts w:ascii="Arial" w:eastAsia="Times New Roman" w:hAnsi="Arial" w:cs="Arial"/>
          <w:sz w:val="24"/>
          <w:szCs w:val="24"/>
          <w:lang w:eastAsia="ar-SA"/>
        </w:rPr>
        <w:t>.</w:t>
      </w:r>
      <w:r>
        <w:rPr>
          <w:rFonts w:ascii="Arial" w:eastAsia="Times New Roman" w:hAnsi="Arial" w:cs="Arial"/>
          <w:sz w:val="24"/>
          <w:szCs w:val="24"/>
          <w:lang w:eastAsia="ar-SA"/>
        </w:rPr>
        <w:tab/>
      </w:r>
      <w:r w:rsidR="00DB6E47" w:rsidRPr="00DB6E47">
        <w:rPr>
          <w:rFonts w:ascii="Arial" w:eastAsia="Times New Roman" w:hAnsi="Arial" w:cs="Arial"/>
          <w:sz w:val="24"/>
          <w:szCs w:val="24"/>
          <w:lang w:eastAsia="ar-SA"/>
        </w:rPr>
        <w:t>As ocorrências de não conformidade identificadas serão consideradas como quantidades relativas (percentual) do total de serviços disponibilizados mensalmente.</w:t>
      </w:r>
    </w:p>
    <w:tbl>
      <w:tblPr>
        <w:tblpPr w:leftFromText="141" w:rightFromText="141" w:vertAnchor="text" w:horzAnchor="margin" w:tblpY="2269"/>
        <w:tblW w:w="8555" w:type="dxa"/>
        <w:tblCellMar>
          <w:left w:w="70" w:type="dxa"/>
          <w:right w:w="70" w:type="dxa"/>
        </w:tblCellMar>
        <w:tblLook w:val="04A0"/>
      </w:tblPr>
      <w:tblGrid>
        <w:gridCol w:w="4039"/>
        <w:gridCol w:w="1348"/>
        <w:gridCol w:w="1908"/>
        <w:gridCol w:w="1260"/>
      </w:tblGrid>
      <w:tr w:rsidR="0022276D" w:rsidRPr="004A6C66" w:rsidTr="0022276D">
        <w:trPr>
          <w:trHeight w:val="300"/>
        </w:trPr>
        <w:tc>
          <w:tcPr>
            <w:tcW w:w="40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b/>
                <w:sz w:val="20"/>
                <w:szCs w:val="20"/>
                <w:lang w:eastAsia="ar-SA"/>
              </w:rPr>
            </w:pPr>
            <w:r w:rsidRPr="004A6C66">
              <w:rPr>
                <w:rFonts w:ascii="Arial" w:eastAsia="Times New Roman" w:hAnsi="Arial" w:cs="Arial"/>
                <w:b/>
                <w:sz w:val="20"/>
                <w:szCs w:val="20"/>
                <w:lang w:eastAsia="ar-SA"/>
              </w:rPr>
              <w:t>Indicador de Desempenho</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b/>
                <w:sz w:val="20"/>
                <w:szCs w:val="20"/>
                <w:lang w:eastAsia="ar-SA"/>
              </w:rPr>
            </w:pPr>
            <w:r w:rsidRPr="004A6C66">
              <w:rPr>
                <w:rFonts w:ascii="Arial" w:eastAsia="Times New Roman" w:hAnsi="Arial" w:cs="Arial"/>
                <w:b/>
                <w:sz w:val="20"/>
                <w:szCs w:val="20"/>
                <w:lang w:eastAsia="ar-SA"/>
              </w:rPr>
              <w:t>Número de Ocorrências</w:t>
            </w:r>
          </w:p>
        </w:tc>
        <w:tc>
          <w:tcPr>
            <w:tcW w:w="19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b/>
                <w:sz w:val="20"/>
                <w:szCs w:val="20"/>
                <w:lang w:eastAsia="ar-SA"/>
              </w:rPr>
            </w:pPr>
            <w:r w:rsidRPr="004A6C66">
              <w:rPr>
                <w:rFonts w:ascii="Arial" w:eastAsia="Times New Roman" w:hAnsi="Arial" w:cs="Arial"/>
                <w:b/>
                <w:sz w:val="20"/>
                <w:szCs w:val="20"/>
                <w:lang w:eastAsia="ar-SA"/>
              </w:rPr>
              <w:t>Total de Serviços Disponibilizados</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b/>
                <w:sz w:val="20"/>
                <w:szCs w:val="20"/>
                <w:lang w:eastAsia="ar-SA"/>
              </w:rPr>
            </w:pPr>
            <w:r w:rsidRPr="004A6C66">
              <w:rPr>
                <w:rFonts w:ascii="Arial" w:eastAsia="Times New Roman" w:hAnsi="Arial" w:cs="Arial"/>
                <w:b/>
                <w:sz w:val="20"/>
                <w:szCs w:val="20"/>
                <w:lang w:eastAsia="ar-SA"/>
              </w:rPr>
              <w:t>%</w:t>
            </w:r>
          </w:p>
        </w:tc>
      </w:tr>
      <w:tr w:rsidR="0022276D" w:rsidRPr="004A6C66" w:rsidTr="0022276D">
        <w:trPr>
          <w:trHeight w:val="300"/>
        </w:trPr>
        <w:tc>
          <w:tcPr>
            <w:tcW w:w="4039" w:type="dxa"/>
            <w:vMerge/>
            <w:tcBorders>
              <w:top w:val="single" w:sz="4" w:space="0" w:color="auto"/>
              <w:left w:val="single" w:sz="4" w:space="0" w:color="auto"/>
              <w:bottom w:val="single" w:sz="4" w:space="0" w:color="auto"/>
              <w:right w:val="single" w:sz="4" w:space="0" w:color="auto"/>
            </w:tcBorders>
            <w:vAlign w:val="center"/>
            <w:hideMark/>
          </w:tcPr>
          <w:p w:rsidR="0022276D" w:rsidRPr="004A6C66" w:rsidRDefault="0022276D" w:rsidP="0022276D">
            <w:pPr>
              <w:tabs>
                <w:tab w:val="left" w:pos="7371"/>
              </w:tabs>
              <w:suppressAutoHyphens/>
              <w:spacing w:after="0" w:line="240" w:lineRule="auto"/>
              <w:ind w:right="-143"/>
              <w:jc w:val="both"/>
              <w:rPr>
                <w:rFonts w:ascii="Arial" w:eastAsia="Times New Roman" w:hAnsi="Arial" w:cs="Arial"/>
                <w:sz w:val="20"/>
                <w:szCs w:val="20"/>
                <w:lang w:eastAsia="ar-SA"/>
              </w:rPr>
            </w:pPr>
          </w:p>
        </w:tc>
        <w:tc>
          <w:tcPr>
            <w:tcW w:w="1348" w:type="dxa"/>
            <w:vMerge/>
            <w:tcBorders>
              <w:top w:val="single" w:sz="4" w:space="0" w:color="auto"/>
              <w:left w:val="single" w:sz="4" w:space="0" w:color="auto"/>
              <w:bottom w:val="single" w:sz="4" w:space="0" w:color="auto"/>
              <w:right w:val="single" w:sz="4" w:space="0" w:color="auto"/>
            </w:tcBorders>
            <w:vAlign w:val="center"/>
            <w:hideMark/>
          </w:tcPr>
          <w:p w:rsidR="0022276D" w:rsidRPr="004A6C66" w:rsidRDefault="0022276D" w:rsidP="0022276D">
            <w:pPr>
              <w:tabs>
                <w:tab w:val="left" w:pos="7371"/>
              </w:tabs>
              <w:suppressAutoHyphens/>
              <w:spacing w:after="0" w:line="240" w:lineRule="auto"/>
              <w:ind w:right="-143"/>
              <w:jc w:val="both"/>
              <w:rPr>
                <w:rFonts w:ascii="Arial" w:eastAsia="Times New Roman" w:hAnsi="Arial" w:cs="Arial"/>
                <w:sz w:val="20"/>
                <w:szCs w:val="20"/>
                <w:lang w:eastAsia="ar-SA"/>
              </w:rPr>
            </w:pPr>
          </w:p>
        </w:tc>
        <w:tc>
          <w:tcPr>
            <w:tcW w:w="1908" w:type="dxa"/>
            <w:vMerge/>
            <w:tcBorders>
              <w:top w:val="single" w:sz="4" w:space="0" w:color="auto"/>
              <w:left w:val="single" w:sz="4" w:space="0" w:color="auto"/>
              <w:bottom w:val="single" w:sz="4" w:space="0" w:color="auto"/>
              <w:right w:val="single" w:sz="4" w:space="0" w:color="auto"/>
            </w:tcBorders>
            <w:vAlign w:val="center"/>
            <w:hideMark/>
          </w:tcPr>
          <w:p w:rsidR="0022276D" w:rsidRPr="004A6C66" w:rsidRDefault="0022276D" w:rsidP="0022276D">
            <w:pPr>
              <w:tabs>
                <w:tab w:val="left" w:pos="7371"/>
              </w:tabs>
              <w:suppressAutoHyphens/>
              <w:spacing w:after="0" w:line="240" w:lineRule="auto"/>
              <w:ind w:right="-143"/>
              <w:jc w:val="both"/>
              <w:rPr>
                <w:rFonts w:ascii="Arial" w:eastAsia="Times New Roman" w:hAnsi="Arial" w:cs="Arial"/>
                <w:sz w:val="20"/>
                <w:szCs w:val="20"/>
                <w:lang w:eastAsia="ar-SA"/>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2276D" w:rsidRPr="004A6C66" w:rsidRDefault="0022276D" w:rsidP="0022276D">
            <w:pPr>
              <w:tabs>
                <w:tab w:val="left" w:pos="7371"/>
              </w:tabs>
              <w:suppressAutoHyphens/>
              <w:spacing w:after="0" w:line="240" w:lineRule="auto"/>
              <w:ind w:right="-143"/>
              <w:jc w:val="both"/>
              <w:rPr>
                <w:rFonts w:ascii="Arial" w:eastAsia="Times New Roman" w:hAnsi="Arial" w:cs="Arial"/>
                <w:sz w:val="20"/>
                <w:szCs w:val="20"/>
                <w:lang w:eastAsia="ar-SA"/>
              </w:rPr>
            </w:pP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a) Frequência</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10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92233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0,12</w:t>
            </w:r>
            <w:r w:rsidR="0022276D" w:rsidRPr="00B348FA">
              <w:rPr>
                <w:rFonts w:ascii="Arial" w:eastAsia="Times New Roman" w:hAnsi="Arial" w:cs="Arial"/>
                <w:sz w:val="20"/>
                <w:szCs w:val="20"/>
                <w:lang w:eastAsia="ar-SA"/>
              </w:rPr>
              <w:t>%</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b) Cronograma</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4A6C6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100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922336" w:rsidP="00922336">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0,83</w:t>
            </w:r>
            <w:r w:rsidR="0022276D" w:rsidRPr="00B348FA">
              <w:rPr>
                <w:rFonts w:ascii="Arial" w:eastAsia="Times New Roman" w:hAnsi="Arial" w:cs="Arial"/>
                <w:sz w:val="20"/>
                <w:szCs w:val="20"/>
                <w:lang w:eastAsia="ar-SA"/>
              </w:rPr>
              <w:t>%</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c) Prazo dos serviços</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4A6C6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20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922336" w:rsidP="00922336">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0,24</w:t>
            </w:r>
            <w:r w:rsidR="0022276D" w:rsidRPr="00B348FA">
              <w:rPr>
                <w:rFonts w:ascii="Arial" w:eastAsia="Times New Roman" w:hAnsi="Arial" w:cs="Arial"/>
                <w:sz w:val="20"/>
                <w:szCs w:val="20"/>
                <w:lang w:eastAsia="ar-SA"/>
              </w:rPr>
              <w:t>%</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d) Erros nos serviços</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35</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92233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0,4</w:t>
            </w:r>
            <w:r w:rsidR="0022276D" w:rsidRPr="00B348FA">
              <w:rPr>
                <w:rFonts w:ascii="Arial" w:eastAsia="Times New Roman" w:hAnsi="Arial" w:cs="Arial"/>
                <w:sz w:val="20"/>
                <w:szCs w:val="20"/>
                <w:lang w:eastAsia="ar-SA"/>
              </w:rPr>
              <w:t>2%</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e) Ocorrências</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4A6C6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50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22276D" w:rsidP="00922336">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0,6</w:t>
            </w:r>
            <w:r w:rsidR="00922336" w:rsidRPr="00B348FA">
              <w:rPr>
                <w:rFonts w:ascii="Arial" w:eastAsia="Times New Roman" w:hAnsi="Arial" w:cs="Arial"/>
                <w:sz w:val="20"/>
                <w:szCs w:val="20"/>
                <w:lang w:eastAsia="ar-SA"/>
              </w:rPr>
              <w:t>0</w:t>
            </w:r>
            <w:r w:rsidRPr="00B348FA">
              <w:rPr>
                <w:rFonts w:ascii="Arial" w:eastAsia="Times New Roman" w:hAnsi="Arial" w:cs="Arial"/>
                <w:sz w:val="20"/>
                <w:szCs w:val="20"/>
                <w:lang w:eastAsia="ar-SA"/>
              </w:rPr>
              <w:t>%</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f) Qualidade dos serviços</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sz w:val="20"/>
                <w:szCs w:val="20"/>
                <w:lang w:eastAsia="ar-SA"/>
              </w:rPr>
            </w:pPr>
            <w:proofErr w:type="gramStart"/>
            <w:r w:rsidRPr="004A6C66">
              <w:rPr>
                <w:rFonts w:ascii="Arial" w:eastAsia="Times New Roman" w:hAnsi="Arial" w:cs="Arial"/>
                <w:sz w:val="20"/>
                <w:szCs w:val="20"/>
                <w:lang w:eastAsia="ar-SA"/>
              </w:rPr>
              <w:t>0</w:t>
            </w:r>
            <w:proofErr w:type="gramEnd"/>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22276D"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0,00%</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 xml:space="preserve">g) Equipamentos não </w:t>
            </w:r>
            <w:proofErr w:type="gramStart"/>
            <w:r w:rsidRPr="004A6C66">
              <w:rPr>
                <w:rFonts w:ascii="Arial" w:eastAsia="Times New Roman" w:hAnsi="Arial" w:cs="Arial"/>
                <w:sz w:val="20"/>
                <w:szCs w:val="20"/>
                <w:lang w:eastAsia="ar-SA"/>
              </w:rPr>
              <w:t>aprovados/homologados</w:t>
            </w:r>
            <w:proofErr w:type="gramEnd"/>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sz w:val="20"/>
                <w:szCs w:val="20"/>
                <w:lang w:eastAsia="ar-SA"/>
              </w:rPr>
            </w:pPr>
            <w:proofErr w:type="gramStart"/>
            <w:r w:rsidRPr="004A6C66">
              <w:rPr>
                <w:rFonts w:ascii="Arial" w:eastAsia="Times New Roman" w:hAnsi="Arial" w:cs="Arial"/>
                <w:sz w:val="20"/>
                <w:szCs w:val="20"/>
                <w:lang w:eastAsia="ar-SA"/>
              </w:rPr>
              <w:t>0</w:t>
            </w:r>
            <w:proofErr w:type="gramEnd"/>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22276D"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0,00%</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h) Uniforme/EPI</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4A6C6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40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92233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w:t>
            </w:r>
            <w:r w:rsidR="0022276D" w:rsidRPr="00B348FA">
              <w:rPr>
                <w:rFonts w:ascii="Arial" w:eastAsia="Times New Roman" w:hAnsi="Arial" w:cs="Arial"/>
                <w:sz w:val="20"/>
                <w:szCs w:val="20"/>
                <w:lang w:eastAsia="ar-SA"/>
              </w:rPr>
              <w:t>,48%</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rPr>
                <w:rFonts w:ascii="Arial" w:eastAsia="Times New Roman" w:hAnsi="Arial" w:cs="Arial"/>
                <w:sz w:val="20"/>
                <w:szCs w:val="20"/>
                <w:lang w:eastAsia="ar-SA"/>
              </w:rPr>
            </w:pPr>
            <w:proofErr w:type="gramStart"/>
            <w:r w:rsidRPr="004A6C66">
              <w:rPr>
                <w:rFonts w:ascii="Arial" w:eastAsia="Times New Roman" w:hAnsi="Arial" w:cs="Arial"/>
                <w:sz w:val="20"/>
                <w:szCs w:val="20"/>
                <w:lang w:eastAsia="ar-SA"/>
              </w:rPr>
              <w:t>i)</w:t>
            </w:r>
            <w:proofErr w:type="gramEnd"/>
            <w:r w:rsidRPr="004A6C66">
              <w:rPr>
                <w:rFonts w:ascii="Arial" w:eastAsia="Times New Roman" w:hAnsi="Arial" w:cs="Arial"/>
                <w:sz w:val="20"/>
                <w:szCs w:val="20"/>
                <w:lang w:eastAsia="ar-SA"/>
              </w:rPr>
              <w:t>Não execução de serviços  (excedente)</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4A6C6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30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22276D" w:rsidP="00922336">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w:t>
            </w:r>
            <w:r w:rsidR="00922336" w:rsidRPr="00B348FA">
              <w:rPr>
                <w:rFonts w:ascii="Arial" w:eastAsia="Times New Roman" w:hAnsi="Arial" w:cs="Arial"/>
                <w:sz w:val="20"/>
                <w:szCs w:val="20"/>
                <w:lang w:eastAsia="ar-SA"/>
              </w:rPr>
              <w:t>3</w:t>
            </w:r>
            <w:r w:rsidRPr="00B348FA">
              <w:rPr>
                <w:rFonts w:ascii="Arial" w:eastAsia="Times New Roman" w:hAnsi="Arial" w:cs="Arial"/>
                <w:sz w:val="20"/>
                <w:szCs w:val="20"/>
                <w:lang w:eastAsia="ar-SA"/>
              </w:rPr>
              <w:t>6%</w:t>
            </w:r>
          </w:p>
        </w:tc>
      </w:tr>
      <w:tr w:rsidR="0022276D" w:rsidRPr="004A6C66" w:rsidTr="0022276D">
        <w:trPr>
          <w:trHeight w:val="300"/>
        </w:trPr>
        <w:tc>
          <w:tcPr>
            <w:tcW w:w="729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b/>
                <w:bCs/>
                <w:sz w:val="20"/>
                <w:szCs w:val="20"/>
                <w:lang w:eastAsia="ar-SA"/>
              </w:rPr>
            </w:pPr>
            <w:r w:rsidRPr="004A6C66">
              <w:rPr>
                <w:rFonts w:ascii="Arial" w:eastAsia="Times New Roman" w:hAnsi="Arial" w:cs="Arial"/>
                <w:b/>
                <w:bCs/>
                <w:sz w:val="20"/>
                <w:szCs w:val="20"/>
                <w:lang w:eastAsia="ar-SA"/>
              </w:rPr>
              <w:t xml:space="preserve">                                                                                          AMC</w:t>
            </w:r>
          </w:p>
        </w:tc>
        <w:tc>
          <w:tcPr>
            <w:tcW w:w="1260" w:type="dxa"/>
            <w:tcBorders>
              <w:top w:val="nil"/>
              <w:left w:val="nil"/>
              <w:bottom w:val="single" w:sz="4" w:space="0" w:color="auto"/>
              <w:right w:val="single" w:sz="4" w:space="0" w:color="auto"/>
            </w:tcBorders>
            <w:shd w:val="clear" w:color="auto" w:fill="auto"/>
            <w:noWrap/>
            <w:vAlign w:val="bottom"/>
            <w:hideMark/>
          </w:tcPr>
          <w:p w:rsidR="0022276D" w:rsidRPr="00B348FA" w:rsidRDefault="00922336" w:rsidP="0022276D">
            <w:pPr>
              <w:tabs>
                <w:tab w:val="left" w:pos="7371"/>
              </w:tabs>
              <w:suppressAutoHyphens/>
              <w:spacing w:after="0" w:line="240" w:lineRule="auto"/>
              <w:ind w:right="-143"/>
              <w:jc w:val="center"/>
              <w:rPr>
                <w:rFonts w:ascii="Arial" w:eastAsia="Times New Roman" w:hAnsi="Arial" w:cs="Arial"/>
                <w:b/>
                <w:bCs/>
                <w:sz w:val="20"/>
                <w:szCs w:val="20"/>
                <w:lang w:eastAsia="ar-SA"/>
              </w:rPr>
            </w:pPr>
            <w:r w:rsidRPr="00B348FA">
              <w:rPr>
                <w:rFonts w:ascii="Arial" w:eastAsia="Times New Roman" w:hAnsi="Arial" w:cs="Arial"/>
                <w:b/>
                <w:bCs/>
                <w:sz w:val="20"/>
                <w:szCs w:val="20"/>
                <w:lang w:eastAsia="ar-SA"/>
              </w:rPr>
              <w:t>0,34</w:t>
            </w:r>
            <w:r w:rsidR="0022276D" w:rsidRPr="00B348FA">
              <w:rPr>
                <w:rFonts w:ascii="Arial" w:eastAsia="Times New Roman" w:hAnsi="Arial" w:cs="Arial"/>
                <w:b/>
                <w:bCs/>
                <w:sz w:val="20"/>
                <w:szCs w:val="20"/>
                <w:lang w:eastAsia="ar-SA"/>
              </w:rPr>
              <w:t>%</w:t>
            </w:r>
          </w:p>
        </w:tc>
      </w:tr>
    </w:tbl>
    <w:p w:rsidR="00DB6E47" w:rsidRPr="004A6C66" w:rsidRDefault="0022276D" w:rsidP="00876FB4">
      <w:pPr>
        <w:tabs>
          <w:tab w:val="left" w:pos="851"/>
          <w:tab w:val="left" w:pos="7371"/>
        </w:tabs>
        <w:suppressAutoHyphens/>
        <w:spacing w:before="120" w:after="0" w:line="360" w:lineRule="auto"/>
        <w:ind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1</w:t>
      </w:r>
      <w:r w:rsidR="00876FB4" w:rsidRPr="004A6C66">
        <w:rPr>
          <w:rFonts w:ascii="Arial" w:eastAsia="Times New Roman" w:hAnsi="Arial" w:cs="Arial"/>
          <w:sz w:val="24"/>
          <w:szCs w:val="24"/>
          <w:lang w:eastAsia="ar-SA"/>
        </w:rPr>
        <w:t>.5.3</w:t>
      </w:r>
      <w:r w:rsidRPr="004A6C66">
        <w:rPr>
          <w:rFonts w:ascii="Arial" w:eastAsia="Times New Roman" w:hAnsi="Arial" w:cs="Arial"/>
          <w:sz w:val="24"/>
          <w:szCs w:val="24"/>
          <w:lang w:eastAsia="ar-SA"/>
        </w:rPr>
        <w:tab/>
      </w:r>
      <w:r w:rsidR="00DB6E47" w:rsidRPr="004A6C66">
        <w:rPr>
          <w:rFonts w:ascii="Arial" w:eastAsia="Times New Roman" w:hAnsi="Arial" w:cs="Arial"/>
          <w:sz w:val="24"/>
          <w:szCs w:val="24"/>
          <w:lang w:eastAsia="ar-SA"/>
        </w:rPr>
        <w:t>Mensalmente, o Gestor do Contrato, de acordo com os registros das ocorrências de não conformidade identificadas pelo fiscal, realizará a avaliação do nível de atendimentos dos serviços contratados através da Avaliação Mensal de Conformidade (AMC).</w:t>
      </w:r>
    </w:p>
    <w:p w:rsidR="00DB6E47" w:rsidRPr="00DB6E47" w:rsidRDefault="0022276D" w:rsidP="00876FB4">
      <w:pPr>
        <w:tabs>
          <w:tab w:val="left" w:pos="851"/>
          <w:tab w:val="left" w:pos="7371"/>
        </w:tabs>
        <w:suppressAutoHyphens/>
        <w:spacing w:before="120" w:after="0" w:line="360" w:lineRule="auto"/>
        <w:ind w:right="-143"/>
        <w:jc w:val="both"/>
        <w:rPr>
          <w:rFonts w:ascii="Arial" w:eastAsia="Times New Roman" w:hAnsi="Arial" w:cs="Arial"/>
          <w:sz w:val="24"/>
          <w:szCs w:val="24"/>
          <w:lang w:eastAsia="ar-SA"/>
        </w:rPr>
      </w:pPr>
      <w:r>
        <w:rPr>
          <w:rFonts w:ascii="Arial" w:eastAsia="Times New Roman" w:hAnsi="Arial" w:cs="Arial"/>
          <w:sz w:val="24"/>
          <w:szCs w:val="24"/>
          <w:lang w:eastAsia="ar-SA"/>
        </w:rPr>
        <w:t>1</w:t>
      </w:r>
      <w:r w:rsidR="00876FB4">
        <w:rPr>
          <w:rFonts w:ascii="Arial" w:eastAsia="Times New Roman" w:hAnsi="Arial" w:cs="Arial"/>
          <w:sz w:val="24"/>
          <w:szCs w:val="24"/>
          <w:lang w:eastAsia="ar-SA"/>
        </w:rPr>
        <w:t>.5.4</w:t>
      </w:r>
      <w:r>
        <w:rPr>
          <w:rFonts w:ascii="Arial" w:eastAsia="Times New Roman" w:hAnsi="Arial" w:cs="Arial"/>
          <w:sz w:val="24"/>
          <w:szCs w:val="24"/>
          <w:lang w:eastAsia="ar-SA"/>
        </w:rPr>
        <w:t>.</w:t>
      </w:r>
      <w:r>
        <w:rPr>
          <w:rFonts w:ascii="Arial" w:eastAsia="Times New Roman" w:hAnsi="Arial" w:cs="Arial"/>
          <w:sz w:val="24"/>
          <w:szCs w:val="24"/>
          <w:lang w:eastAsia="ar-SA"/>
        </w:rPr>
        <w:tab/>
      </w:r>
      <w:r w:rsidR="00DB6E47" w:rsidRPr="00DB6E47">
        <w:rPr>
          <w:rFonts w:ascii="Arial" w:eastAsia="Times New Roman" w:hAnsi="Arial" w:cs="Arial"/>
          <w:sz w:val="24"/>
          <w:szCs w:val="24"/>
          <w:lang w:eastAsia="ar-SA"/>
        </w:rPr>
        <w:t xml:space="preserve">A Avaliação Mensal de Conformidade (AMC) será obtida registrando o número de ocorrências de não conformidade de cada indicador de desempenho, </w:t>
      </w:r>
      <w:r w:rsidR="00DB6E47" w:rsidRPr="00DB6E47">
        <w:rPr>
          <w:rFonts w:ascii="Arial" w:eastAsia="Times New Roman" w:hAnsi="Arial" w:cs="Arial"/>
          <w:sz w:val="24"/>
          <w:szCs w:val="24"/>
          <w:lang w:eastAsia="ar-SA"/>
        </w:rPr>
        <w:lastRenderedPageBreak/>
        <w:t>dividindo pelo total de serviços disponibilizados no mês de referência, obtendo ao fim, a média aritmética de todos os indicadores, conforme exemplo abaixo:</w:t>
      </w:r>
    </w:p>
    <w:p w:rsidR="00DB6E47" w:rsidRPr="00DB6E47" w:rsidRDefault="00DB6E47" w:rsidP="00876FB4">
      <w:pPr>
        <w:numPr>
          <w:ilvl w:val="1"/>
          <w:numId w:val="3"/>
        </w:numPr>
        <w:tabs>
          <w:tab w:val="left" w:pos="7371"/>
        </w:tabs>
        <w:suppressAutoHyphens/>
        <w:spacing w:before="120" w:after="0" w:line="360" w:lineRule="auto"/>
        <w:ind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A adequação de pagamento em função do atendimento das metas estabelecidas ocorrerá da seguinte forma:</w:t>
      </w:r>
    </w:p>
    <w:p w:rsidR="00DB6E47" w:rsidRPr="00DB6E47" w:rsidRDefault="00DB6E47" w:rsidP="00876FB4">
      <w:p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a) AMC igual ou inferior a 1,00%: pagamento de 100% do valor total mensal medido;</w:t>
      </w:r>
    </w:p>
    <w:p w:rsidR="00DB6E47" w:rsidRPr="00DB6E47" w:rsidRDefault="00DB6E47" w:rsidP="00876FB4">
      <w:p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b) AMC entre 1,01% e 2,59%: pagamento de 99% do valor total mensal medido;</w:t>
      </w:r>
    </w:p>
    <w:p w:rsidR="00DB6E47" w:rsidRPr="00DB6E47" w:rsidRDefault="00DB6E47" w:rsidP="00876FB4">
      <w:p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c) AMC entre 2,60% e 4,00%: pagamento de 97% do valor total mensal medido.</w:t>
      </w:r>
    </w:p>
    <w:p w:rsidR="00DB6E47" w:rsidRPr="00DB6E47" w:rsidRDefault="00DB6E47" w:rsidP="00876FB4">
      <w:p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d) AMC entre 4,01% e 6,00%: pagamento de 95% do valor total mensal medido.</w:t>
      </w:r>
    </w:p>
    <w:p w:rsidR="00DB6E47" w:rsidRPr="00DB6E47" w:rsidRDefault="00DB6E47" w:rsidP="00876FB4">
      <w:p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e) AMC entre 6,01% e 10,00%: pagamento de 93% do valor total mensal medido.</w:t>
      </w:r>
    </w:p>
    <w:p w:rsidR="00DB6E47" w:rsidRPr="00DB6E47" w:rsidRDefault="00DB6E47" w:rsidP="00876FB4">
      <w:p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f) AMC a partir de 10,01%: pagamento de 90% do valor total mensal contratado.</w:t>
      </w:r>
    </w:p>
    <w:p w:rsidR="00DB6E47" w:rsidRPr="00DB6E47" w:rsidRDefault="0022276D" w:rsidP="00876FB4">
      <w:pPr>
        <w:tabs>
          <w:tab w:val="left" w:pos="7371"/>
        </w:tabs>
        <w:suppressAutoHyphens/>
        <w:spacing w:before="120" w:after="0" w:line="360" w:lineRule="auto"/>
        <w:ind w:right="-143"/>
        <w:jc w:val="both"/>
        <w:rPr>
          <w:rFonts w:ascii="Arial" w:eastAsia="Times New Roman" w:hAnsi="Arial" w:cs="Arial"/>
          <w:sz w:val="24"/>
          <w:szCs w:val="24"/>
          <w:lang w:eastAsia="ar-SA"/>
        </w:rPr>
      </w:pPr>
      <w:r>
        <w:rPr>
          <w:rFonts w:ascii="Arial" w:eastAsia="Times New Roman" w:hAnsi="Arial" w:cs="Arial"/>
          <w:sz w:val="24"/>
          <w:szCs w:val="24"/>
          <w:lang w:eastAsia="ar-SA"/>
        </w:rPr>
        <w:t>1.7</w:t>
      </w:r>
      <w:r w:rsidR="00DB6E47" w:rsidRPr="00DB6E47">
        <w:rPr>
          <w:rFonts w:ascii="Arial" w:eastAsia="Times New Roman" w:hAnsi="Arial" w:cs="Arial"/>
          <w:sz w:val="24"/>
          <w:szCs w:val="24"/>
          <w:lang w:eastAsia="ar-SA"/>
        </w:rPr>
        <w:t>. Sempre que a AMC for superior ou igual a 10,01% a CONTRATADA poderá receber advertência sem prejuízos às penalidades constantes no Edital.</w:t>
      </w:r>
    </w:p>
    <w:p w:rsidR="00DB6E47" w:rsidRPr="00DB6E47" w:rsidRDefault="00DB6E47" w:rsidP="00876FB4">
      <w:pPr>
        <w:tabs>
          <w:tab w:val="left" w:pos="7371"/>
        </w:tabs>
        <w:suppressAutoHyphens/>
        <w:spacing w:before="120" w:after="0" w:line="360" w:lineRule="auto"/>
        <w:ind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1</w:t>
      </w:r>
      <w:r w:rsidR="0022276D">
        <w:rPr>
          <w:rFonts w:ascii="Arial" w:eastAsia="Times New Roman" w:hAnsi="Arial" w:cs="Arial"/>
          <w:sz w:val="24"/>
          <w:szCs w:val="24"/>
          <w:lang w:eastAsia="ar-SA"/>
        </w:rPr>
        <w:t>.8</w:t>
      </w:r>
      <w:r w:rsidRPr="00DB6E47">
        <w:rPr>
          <w:rFonts w:ascii="Arial" w:eastAsia="Times New Roman" w:hAnsi="Arial" w:cs="Arial"/>
          <w:sz w:val="24"/>
          <w:szCs w:val="24"/>
          <w:lang w:eastAsia="ar-SA"/>
        </w:rPr>
        <w:t>. O Acordo de Nível de Serviço será considerado na avaliação da eventual prorrogação do Contrato.</w:t>
      </w:r>
    </w:p>
    <w:sectPr w:rsidR="00DB6E47" w:rsidRPr="00DB6E47" w:rsidSect="00B8625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4FE1" w:rsidRDefault="00DA4FE1" w:rsidP="00876FB4">
      <w:pPr>
        <w:spacing w:after="0" w:line="240" w:lineRule="auto"/>
      </w:pPr>
      <w:r>
        <w:separator/>
      </w:r>
    </w:p>
  </w:endnote>
  <w:endnote w:type="continuationSeparator" w:id="1">
    <w:p w:rsidR="00DA4FE1" w:rsidRDefault="00DA4FE1" w:rsidP="00876F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B4" w:rsidRPr="00DC08CD" w:rsidRDefault="00876FB4" w:rsidP="00876FB4">
    <w:pPr>
      <w:pStyle w:val="Rodap"/>
      <w:tabs>
        <w:tab w:val="clear" w:pos="8504"/>
        <w:tab w:val="right" w:pos="8505"/>
      </w:tabs>
      <w:ind w:right="-1"/>
      <w:jc w:val="center"/>
      <w:rPr>
        <w:rFonts w:ascii="Arial" w:hAnsi="Arial" w:cs="Arial"/>
        <w:b/>
        <w:sz w:val="16"/>
        <w:szCs w:val="16"/>
      </w:rPr>
    </w:pPr>
    <w:r>
      <w:rPr>
        <w:noProof/>
        <w:lang w:eastAsia="pt-BR"/>
      </w:rPr>
      <w:drawing>
        <wp:anchor distT="0" distB="0" distL="114300" distR="114300" simplePos="0" relativeHeight="251659264" behindDoc="1" locked="0" layoutInCell="1" allowOverlap="1">
          <wp:simplePos x="0" y="0"/>
          <wp:positionH relativeFrom="column">
            <wp:posOffset>4770755</wp:posOffset>
          </wp:positionH>
          <wp:positionV relativeFrom="paragraph">
            <wp:posOffset>-186055</wp:posOffset>
          </wp:positionV>
          <wp:extent cx="1111885" cy="659765"/>
          <wp:effectExtent l="19050" t="0" r="0" b="0"/>
          <wp:wrapNone/>
          <wp:docPr id="3"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ascii="Arial" w:hAnsi="Arial" w:cs="Arial"/>
        <w:b/>
        <w:sz w:val="16"/>
        <w:szCs w:val="16"/>
      </w:rPr>
      <w:t>Companhia de Saneamento Municipal - Cesama</w:t>
    </w:r>
  </w:p>
  <w:p w:rsidR="00876FB4" w:rsidRPr="00DC08CD" w:rsidRDefault="00876FB4" w:rsidP="00876FB4">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876FB4" w:rsidRPr="00DC08CD" w:rsidRDefault="00876FB4" w:rsidP="00876FB4">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3692-9200</w:t>
    </w:r>
  </w:p>
  <w:p w:rsidR="00876FB4" w:rsidRPr="007754EF" w:rsidRDefault="00876FB4" w:rsidP="00876FB4">
    <w:pPr>
      <w:pStyle w:val="Rodap"/>
      <w:rPr>
        <w:szCs w:val="16"/>
      </w:rPr>
    </w:pPr>
  </w:p>
  <w:p w:rsidR="00876FB4" w:rsidRDefault="00876FB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4FE1" w:rsidRDefault="00DA4FE1" w:rsidP="00876FB4">
      <w:pPr>
        <w:spacing w:after="0" w:line="240" w:lineRule="auto"/>
      </w:pPr>
      <w:r>
        <w:separator/>
      </w:r>
    </w:p>
  </w:footnote>
  <w:footnote w:type="continuationSeparator" w:id="1">
    <w:p w:rsidR="00DA4FE1" w:rsidRDefault="00DA4FE1" w:rsidP="00876F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B4" w:rsidRDefault="00876FB4" w:rsidP="00876FB4">
    <w:pPr>
      <w:pStyle w:val="Cabealho"/>
      <w:jc w:val="center"/>
    </w:pPr>
    <w:r w:rsidRPr="00876FB4">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E01CF"/>
    <w:multiLevelType w:val="multilevel"/>
    <w:tmpl w:val="427E6D14"/>
    <w:lvl w:ilvl="0">
      <w:start w:val="1"/>
      <w:numFmt w:val="decimal"/>
      <w:lvlText w:val="%1."/>
      <w:lvlJc w:val="left"/>
      <w:pPr>
        <w:ind w:left="390" w:hanging="39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6674"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abstractNum w:abstractNumId="1">
    <w:nsid w:val="313E4EFF"/>
    <w:multiLevelType w:val="hybridMultilevel"/>
    <w:tmpl w:val="29E0C740"/>
    <w:lvl w:ilvl="0" w:tplc="77B4AC3A">
      <w:start w:val="1"/>
      <w:numFmt w:val="lowerLetter"/>
      <w:lvlText w:val="%1)"/>
      <w:lvlJc w:val="left"/>
      <w:pPr>
        <w:ind w:left="720" w:hanging="360"/>
      </w:pPr>
      <w:rPr>
        <w:b w:val="0"/>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41E6592F"/>
    <w:multiLevelType w:val="hybridMultilevel"/>
    <w:tmpl w:val="4CA6EF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BC4F7B"/>
    <w:rsid w:val="001C6661"/>
    <w:rsid w:val="00205087"/>
    <w:rsid w:val="0022276D"/>
    <w:rsid w:val="00234910"/>
    <w:rsid w:val="002D55F2"/>
    <w:rsid w:val="00386838"/>
    <w:rsid w:val="00481709"/>
    <w:rsid w:val="0049773D"/>
    <w:rsid w:val="004A6C66"/>
    <w:rsid w:val="0051675D"/>
    <w:rsid w:val="00654837"/>
    <w:rsid w:val="006E223C"/>
    <w:rsid w:val="007A7ABD"/>
    <w:rsid w:val="00832590"/>
    <w:rsid w:val="00870F1A"/>
    <w:rsid w:val="00876FB4"/>
    <w:rsid w:val="00922336"/>
    <w:rsid w:val="009A46EC"/>
    <w:rsid w:val="00A90695"/>
    <w:rsid w:val="00AA56C6"/>
    <w:rsid w:val="00B14987"/>
    <w:rsid w:val="00B348FA"/>
    <w:rsid w:val="00B505DB"/>
    <w:rsid w:val="00B86250"/>
    <w:rsid w:val="00BC4F7B"/>
    <w:rsid w:val="00C26F24"/>
    <w:rsid w:val="00D20700"/>
    <w:rsid w:val="00DA4FE1"/>
    <w:rsid w:val="00DB6E47"/>
    <w:rsid w:val="00E46A6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F7B"/>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876FB4"/>
    <w:pPr>
      <w:ind w:left="720"/>
      <w:contextualSpacing/>
    </w:pPr>
  </w:style>
  <w:style w:type="paragraph" w:styleId="Cabealho">
    <w:name w:val="header"/>
    <w:basedOn w:val="Normal"/>
    <w:link w:val="CabealhoChar"/>
    <w:uiPriority w:val="99"/>
    <w:semiHidden/>
    <w:unhideWhenUsed/>
    <w:rsid w:val="00876FB4"/>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876FB4"/>
  </w:style>
  <w:style w:type="paragraph" w:styleId="Rodap">
    <w:name w:val="footer"/>
    <w:basedOn w:val="Normal"/>
    <w:link w:val="RodapChar"/>
    <w:uiPriority w:val="99"/>
    <w:unhideWhenUsed/>
    <w:rsid w:val="00876FB4"/>
    <w:pPr>
      <w:tabs>
        <w:tab w:val="center" w:pos="4252"/>
        <w:tab w:val="right" w:pos="8504"/>
      </w:tabs>
      <w:spacing w:after="0" w:line="240" w:lineRule="auto"/>
    </w:pPr>
  </w:style>
  <w:style w:type="character" w:customStyle="1" w:styleId="RodapChar">
    <w:name w:val="Rodapé Char"/>
    <w:basedOn w:val="Fontepargpadro"/>
    <w:link w:val="Rodap"/>
    <w:uiPriority w:val="99"/>
    <w:rsid w:val="00876FB4"/>
  </w:style>
  <w:style w:type="paragraph" w:styleId="Textodebalo">
    <w:name w:val="Balloon Text"/>
    <w:basedOn w:val="Normal"/>
    <w:link w:val="TextodebaloChar"/>
    <w:uiPriority w:val="99"/>
    <w:semiHidden/>
    <w:unhideWhenUsed/>
    <w:rsid w:val="00876FB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76F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956</Words>
  <Characters>5168</Characters>
  <Application>Microsoft Office Word</Application>
  <DocSecurity>0</DocSecurity>
  <Lines>43</Lines>
  <Paragraphs>12</Paragraphs>
  <ScaleCrop>false</ScaleCrop>
  <Company>Microsoft</Company>
  <LinksUpToDate>false</LinksUpToDate>
  <CharactersWithSpaces>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Maristela Soranco Miranda Miranda</cp:lastModifiedBy>
  <cp:revision>2</cp:revision>
  <dcterms:created xsi:type="dcterms:W3CDTF">2019-07-08T18:39:00Z</dcterms:created>
  <dcterms:modified xsi:type="dcterms:W3CDTF">2019-07-08T18:39:00Z</dcterms:modified>
</cp:coreProperties>
</file>