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34122">
              <w:rPr>
                <w:rFonts w:cs="Arial"/>
                <w:bCs/>
                <w:sz w:val="28"/>
                <w:szCs w:val="28"/>
              </w:rPr>
              <w:t>0</w:t>
            </w:r>
            <w:r w:rsidR="00182406">
              <w:rPr>
                <w:rFonts w:cs="Arial"/>
                <w:bCs/>
                <w:sz w:val="28"/>
                <w:szCs w:val="28"/>
              </w:rPr>
              <w:t>8</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182406">
        <w:rPr>
          <w:rFonts w:cs="Arial"/>
          <w:b/>
          <w:bCs/>
          <w:sz w:val="23"/>
          <w:szCs w:val="23"/>
          <w:lang w:eastAsia="pt-BR"/>
        </w:rPr>
        <w:t>OPICE BLUM ACADEMY TREINAMENTO E CONSULTORIA LTDA</w:t>
      </w:r>
      <w:r w:rsidR="00A92066" w:rsidRPr="00A92066">
        <w:rPr>
          <w:rFonts w:cs="Arial"/>
          <w:sz w:val="23"/>
          <w:szCs w:val="23"/>
          <w:lang w:eastAsia="pt-BR"/>
        </w:rPr>
        <w:t xml:space="preserve">, inscrita no CNPJ nº </w:t>
      </w:r>
      <w:r w:rsidR="00182406">
        <w:rPr>
          <w:rFonts w:cs="Arial"/>
          <w:sz w:val="23"/>
          <w:szCs w:val="23"/>
          <w:lang w:eastAsia="pt-BR"/>
        </w:rPr>
        <w:t>04.282.76</w:t>
      </w:r>
      <w:r w:rsidR="00DD7EF2">
        <w:rPr>
          <w:rFonts w:cs="Arial"/>
          <w:sz w:val="23"/>
          <w:szCs w:val="23"/>
          <w:lang w:eastAsia="pt-BR"/>
        </w:rPr>
        <w:t>5</w:t>
      </w:r>
      <w:r w:rsidR="00BD3138">
        <w:rPr>
          <w:rFonts w:cs="Arial"/>
          <w:sz w:val="23"/>
          <w:szCs w:val="23"/>
          <w:lang w:eastAsia="pt-BR"/>
        </w:rPr>
        <w:t>/0001-</w:t>
      </w:r>
      <w:r w:rsidR="00182406">
        <w:rPr>
          <w:rFonts w:cs="Arial"/>
          <w:sz w:val="23"/>
          <w:szCs w:val="23"/>
          <w:lang w:eastAsia="pt-BR"/>
        </w:rPr>
        <w:t>12</w:t>
      </w:r>
      <w:r w:rsidR="00A92066" w:rsidRPr="00A92066">
        <w:rPr>
          <w:rFonts w:cs="Arial"/>
          <w:sz w:val="23"/>
          <w:szCs w:val="23"/>
          <w:lang w:eastAsia="pt-BR"/>
        </w:rPr>
        <w:t>, situada na</w:t>
      </w:r>
      <w:r w:rsidR="00182406">
        <w:rPr>
          <w:rFonts w:cs="Arial"/>
          <w:sz w:val="23"/>
          <w:szCs w:val="23"/>
          <w:lang w:eastAsia="pt-BR"/>
        </w:rPr>
        <w:t xml:space="preserve"> Alameda Joaquim Eugênio de Lima, 680 – 15º Andar – Conjunto 154 – Bela Vista – São Paulo/SP </w:t>
      </w:r>
      <w:r w:rsidR="00A92066">
        <w:rPr>
          <w:rFonts w:cs="Arial"/>
          <w:sz w:val="23"/>
          <w:szCs w:val="23"/>
          <w:lang w:eastAsia="pt-BR"/>
        </w:rPr>
        <w:t xml:space="preserve">(CEP </w:t>
      </w:r>
      <w:r w:rsidR="00182406">
        <w:rPr>
          <w:rFonts w:cs="Arial"/>
          <w:sz w:val="23"/>
          <w:szCs w:val="23"/>
          <w:lang w:eastAsia="pt-BR"/>
        </w:rPr>
        <w:t>01.403.000</w:t>
      </w:r>
      <w:r w:rsidR="00A92066">
        <w:rPr>
          <w:rFonts w:cs="Arial"/>
          <w:sz w:val="23"/>
          <w:szCs w:val="23"/>
          <w:lang w:eastAsia="pt-BR"/>
        </w:rPr>
        <w:t>)</w:t>
      </w:r>
      <w:r w:rsidR="00A92066" w:rsidRPr="00A92066">
        <w:rPr>
          <w:rFonts w:cs="Arial"/>
          <w:sz w:val="23"/>
          <w:szCs w:val="23"/>
          <w:lang w:eastAsia="pt-BR"/>
        </w:rPr>
        <w:t xml:space="preserve">, neste ato representada </w:t>
      </w:r>
      <w:r w:rsidR="00434122">
        <w:rPr>
          <w:rFonts w:cs="Arial"/>
          <w:sz w:val="23"/>
          <w:szCs w:val="23"/>
          <w:lang w:eastAsia="pt-BR"/>
        </w:rPr>
        <w:t>por</w:t>
      </w:r>
      <w:r w:rsidR="00DD7EF2">
        <w:rPr>
          <w:rFonts w:cs="Arial"/>
          <w:sz w:val="23"/>
          <w:szCs w:val="23"/>
          <w:lang w:eastAsia="pt-BR"/>
        </w:rPr>
        <w:t xml:space="preserve"> </w:t>
      </w:r>
      <w:r w:rsidR="00182406">
        <w:rPr>
          <w:rFonts w:cs="Arial"/>
          <w:sz w:val="23"/>
          <w:szCs w:val="23"/>
          <w:lang w:eastAsia="pt-BR"/>
        </w:rPr>
        <w:t xml:space="preserve">Renato Muller da Silva </w:t>
      </w:r>
      <w:proofErr w:type="spellStart"/>
      <w:r w:rsidR="00182406">
        <w:rPr>
          <w:rFonts w:cs="Arial"/>
          <w:sz w:val="23"/>
          <w:szCs w:val="23"/>
          <w:lang w:eastAsia="pt-BR"/>
        </w:rPr>
        <w:t>Opice</w:t>
      </w:r>
      <w:proofErr w:type="spellEnd"/>
      <w:r w:rsidR="00182406">
        <w:rPr>
          <w:rFonts w:cs="Arial"/>
          <w:sz w:val="23"/>
          <w:szCs w:val="23"/>
          <w:lang w:eastAsia="pt-BR"/>
        </w:rPr>
        <w:t xml:space="preserve"> </w:t>
      </w:r>
      <w:proofErr w:type="spellStart"/>
      <w:r w:rsidR="00182406">
        <w:rPr>
          <w:rFonts w:cs="Arial"/>
          <w:sz w:val="23"/>
          <w:szCs w:val="23"/>
          <w:lang w:eastAsia="pt-BR"/>
        </w:rPr>
        <w:t>Blum</w:t>
      </w:r>
      <w:proofErr w:type="spellEnd"/>
      <w:r w:rsidR="00A92066" w:rsidRPr="00A92066">
        <w:rPr>
          <w:rFonts w:cs="Arial"/>
          <w:sz w:val="23"/>
          <w:szCs w:val="23"/>
          <w:lang w:eastAsia="pt-BR"/>
        </w:rPr>
        <w:t>, brasileir</w:t>
      </w:r>
      <w:r w:rsidR="00216785">
        <w:rPr>
          <w:rFonts w:cs="Arial"/>
          <w:sz w:val="23"/>
          <w:szCs w:val="23"/>
          <w:lang w:eastAsia="pt-BR"/>
        </w:rPr>
        <w:t>o</w:t>
      </w:r>
      <w:r w:rsidR="00A92066" w:rsidRPr="00A92066">
        <w:rPr>
          <w:rFonts w:cs="Arial"/>
          <w:sz w:val="23"/>
          <w:szCs w:val="23"/>
          <w:lang w:eastAsia="pt-BR"/>
        </w:rPr>
        <w:t>, casad</w:t>
      </w:r>
      <w:r w:rsidR="00216785">
        <w:rPr>
          <w:rFonts w:cs="Arial"/>
          <w:sz w:val="23"/>
          <w:szCs w:val="23"/>
          <w:lang w:eastAsia="pt-BR"/>
        </w:rPr>
        <w:t>o</w:t>
      </w:r>
      <w:r w:rsidR="00A92066" w:rsidRPr="00A92066">
        <w:rPr>
          <w:rFonts w:cs="Arial"/>
          <w:sz w:val="23"/>
          <w:szCs w:val="23"/>
          <w:lang w:eastAsia="pt-BR"/>
        </w:rPr>
        <w:t xml:space="preserve">, </w:t>
      </w:r>
      <w:r w:rsidR="00182406">
        <w:rPr>
          <w:rFonts w:cs="Arial"/>
          <w:sz w:val="23"/>
          <w:szCs w:val="23"/>
          <w:lang w:eastAsia="pt-BR"/>
        </w:rPr>
        <w:t>advogado</w:t>
      </w:r>
      <w:r w:rsidR="00A92066" w:rsidRPr="00A92066">
        <w:rPr>
          <w:rFonts w:cs="Arial"/>
          <w:sz w:val="23"/>
          <w:szCs w:val="23"/>
          <w:lang w:eastAsia="pt-BR"/>
        </w:rPr>
        <w:t xml:space="preserve">, CPF </w:t>
      </w:r>
      <w:r w:rsidR="00182406">
        <w:rPr>
          <w:rFonts w:cs="Arial"/>
          <w:sz w:val="23"/>
          <w:szCs w:val="23"/>
          <w:lang w:eastAsia="pt-BR"/>
        </w:rPr>
        <w:t>147.</w:t>
      </w:r>
      <w:r w:rsidR="00A1494E">
        <w:rPr>
          <w:rFonts w:cs="Arial"/>
          <w:sz w:val="23"/>
          <w:szCs w:val="23"/>
          <w:lang w:eastAsia="pt-BR"/>
        </w:rPr>
        <w:t>274.948.09</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182406">
        <w:rPr>
          <w:rFonts w:cs="Arial"/>
          <w:b/>
          <w:bCs/>
          <w:sz w:val="23"/>
          <w:szCs w:val="23"/>
          <w:lang w:eastAsia="pt-BR"/>
        </w:rPr>
        <w:t>1</w:t>
      </w:r>
      <w:r w:rsidR="004C73F1" w:rsidRPr="00E61E11">
        <w:rPr>
          <w:rFonts w:cs="Arial"/>
          <w:b/>
          <w:bCs/>
          <w:sz w:val="23"/>
          <w:szCs w:val="23"/>
          <w:lang w:eastAsia="pt-BR"/>
        </w:rPr>
        <w:t>,</w:t>
      </w:r>
      <w:r w:rsidR="00A1494E">
        <w:rPr>
          <w:rFonts w:cs="Arial"/>
          <w:b/>
          <w:bCs/>
          <w:sz w:val="23"/>
          <w:szCs w:val="23"/>
          <w:lang w:eastAsia="pt-BR"/>
        </w:rPr>
        <w:t xml:space="preserve">inciso II, alínea “f” </w:t>
      </w:r>
      <w:r w:rsidR="00392B47" w:rsidRPr="00E61E11">
        <w:rPr>
          <w:rFonts w:cs="Arial"/>
          <w:b/>
          <w:bCs/>
          <w:sz w:val="23"/>
          <w:szCs w:val="23"/>
          <w:lang w:eastAsia="pt-BR"/>
        </w:rPr>
        <w:t>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A1494E">
        <w:rPr>
          <w:rFonts w:cs="Arial"/>
          <w:sz w:val="23"/>
          <w:szCs w:val="23"/>
          <w:lang w:eastAsia="pt-BR"/>
        </w:rPr>
        <w:t>07</w:t>
      </w:r>
      <w:r w:rsidR="00112E79">
        <w:rPr>
          <w:rFonts w:cs="Arial"/>
          <w:sz w:val="23"/>
          <w:szCs w:val="23"/>
          <w:lang w:eastAsia="pt-BR"/>
        </w:rPr>
        <w:t>/</w:t>
      </w:r>
      <w:r w:rsidR="00A1494E">
        <w:rPr>
          <w:rFonts w:cs="Arial"/>
          <w:sz w:val="23"/>
          <w:szCs w:val="23"/>
          <w:lang w:eastAsia="pt-BR"/>
        </w:rPr>
        <w:t>21</w:t>
      </w:r>
      <w:r w:rsidRPr="00E61E11">
        <w:rPr>
          <w:rFonts w:cs="Arial"/>
          <w:sz w:val="23"/>
          <w:szCs w:val="23"/>
          <w:lang w:eastAsia="pt-BR"/>
        </w:rPr>
        <w:t xml:space="preserve">, conforme justificativa </w:t>
      </w:r>
      <w:r w:rsidR="00184BB3" w:rsidRPr="00E61E11">
        <w:rPr>
          <w:rFonts w:cs="Arial"/>
          <w:sz w:val="23"/>
          <w:szCs w:val="23"/>
          <w:lang w:eastAsia="pt-BR"/>
        </w:rPr>
        <w:t>de fl.</w:t>
      </w:r>
      <w:r w:rsidR="00497CF5">
        <w:rPr>
          <w:rFonts w:cs="Arial"/>
          <w:sz w:val="23"/>
          <w:szCs w:val="23"/>
          <w:lang w:eastAsia="pt-BR"/>
        </w:rPr>
        <w:t>02</w:t>
      </w:r>
      <w:r w:rsidR="00A1494E">
        <w:rPr>
          <w:rFonts w:cs="Arial"/>
          <w:sz w:val="23"/>
          <w:szCs w:val="23"/>
          <w:lang w:eastAsia="pt-BR"/>
        </w:rPr>
        <w:t>/04</w:t>
      </w:r>
      <w:r w:rsidRPr="00E61E11">
        <w:rPr>
          <w:rFonts w:cs="Arial"/>
          <w:sz w:val="23"/>
          <w:szCs w:val="23"/>
          <w:lang w:eastAsia="pt-BR"/>
        </w:rPr>
        <w:t>e autorizaç</w:t>
      </w:r>
      <w:r w:rsidR="00184BB3" w:rsidRPr="00E61E11">
        <w:rPr>
          <w:rFonts w:cs="Arial"/>
          <w:sz w:val="23"/>
          <w:szCs w:val="23"/>
          <w:lang w:eastAsia="pt-BR"/>
        </w:rPr>
        <w:t>ão de fl</w:t>
      </w:r>
      <w:r w:rsidR="00B7411B">
        <w:rPr>
          <w:rFonts w:cs="Arial"/>
          <w:sz w:val="23"/>
          <w:szCs w:val="23"/>
          <w:lang w:eastAsia="pt-BR"/>
        </w:rPr>
        <w:t>s</w:t>
      </w:r>
      <w:r w:rsidR="00184BB3" w:rsidRPr="00E61E11">
        <w:rPr>
          <w:rFonts w:cs="Arial"/>
          <w:sz w:val="23"/>
          <w:szCs w:val="23"/>
          <w:lang w:eastAsia="pt-BR"/>
        </w:rPr>
        <w:t>.</w:t>
      </w:r>
      <w:r w:rsidR="00B7411B">
        <w:rPr>
          <w:rFonts w:cs="Arial"/>
          <w:sz w:val="23"/>
          <w:szCs w:val="23"/>
          <w:lang w:eastAsia="pt-BR"/>
        </w:rPr>
        <w:t xml:space="preserve"> 04 e </w:t>
      </w:r>
      <w:r w:rsidR="00A97591">
        <w:rPr>
          <w:rFonts w:cs="Arial"/>
          <w:sz w:val="23"/>
          <w:szCs w:val="23"/>
          <w:lang w:eastAsia="pt-BR"/>
        </w:rPr>
        <w:t>21</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DD7EF2">
        <w:rPr>
          <w:rFonts w:cs="Arial"/>
          <w:sz w:val="23"/>
          <w:szCs w:val="23"/>
          <w:lang w:eastAsia="pt-BR"/>
        </w:rPr>
        <w:t xml:space="preserve"> </w:t>
      </w:r>
      <w:proofErr w:type="spellStart"/>
      <w:r w:rsidR="00B7647A">
        <w:rPr>
          <w:rFonts w:cs="Arial"/>
          <w:sz w:val="23"/>
          <w:szCs w:val="23"/>
          <w:lang w:eastAsia="pt-BR"/>
        </w:rPr>
        <w:t>Inexigibilidade</w:t>
      </w:r>
      <w:r w:rsidRPr="00E61E11">
        <w:rPr>
          <w:rFonts w:cs="Arial"/>
          <w:sz w:val="23"/>
          <w:szCs w:val="23"/>
          <w:lang w:eastAsia="pt-BR"/>
        </w:rPr>
        <w:t>nº</w:t>
      </w:r>
      <w:proofErr w:type="spellEnd"/>
      <w:r w:rsidRPr="00E61E11">
        <w:rPr>
          <w:rFonts w:cs="Arial"/>
          <w:sz w:val="23"/>
          <w:szCs w:val="23"/>
          <w:lang w:eastAsia="pt-BR"/>
        </w:rPr>
        <w:t xml:space="preserve"> </w:t>
      </w:r>
      <w:r w:rsidR="00A51DBE">
        <w:rPr>
          <w:rFonts w:cs="Arial"/>
          <w:sz w:val="23"/>
          <w:szCs w:val="23"/>
          <w:lang w:eastAsia="pt-BR"/>
        </w:rPr>
        <w:t>03</w:t>
      </w:r>
      <w:r w:rsidR="002F1B41" w:rsidRPr="00E61E11">
        <w:rPr>
          <w:rFonts w:cs="Arial"/>
          <w:sz w:val="23"/>
          <w:szCs w:val="23"/>
          <w:lang w:eastAsia="pt-BR"/>
        </w:rPr>
        <w:t>/20</w:t>
      </w:r>
      <w:r w:rsidR="003B2966" w:rsidRPr="00E61E11">
        <w:rPr>
          <w:rFonts w:cs="Arial"/>
          <w:sz w:val="23"/>
          <w:szCs w:val="23"/>
          <w:lang w:eastAsia="pt-BR"/>
        </w:rPr>
        <w:t>2</w:t>
      </w:r>
      <w:r w:rsidR="00A51DBE">
        <w:rPr>
          <w:rFonts w:cs="Arial"/>
          <w:sz w:val="23"/>
          <w:szCs w:val="23"/>
          <w:lang w:eastAsia="pt-BR"/>
        </w:rPr>
        <w:t>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A51DBE">
        <w:rPr>
          <w:rFonts w:cs="Arial"/>
          <w:b/>
          <w:bCs/>
          <w:sz w:val="23"/>
          <w:szCs w:val="23"/>
          <w:lang w:eastAsia="pt-BR"/>
        </w:rPr>
        <w:t>c</w:t>
      </w:r>
      <w:r w:rsidR="00A51DBE" w:rsidRPr="00A51DBE">
        <w:rPr>
          <w:rFonts w:cs="Arial"/>
          <w:b/>
          <w:bCs/>
          <w:sz w:val="23"/>
          <w:szCs w:val="23"/>
          <w:lang w:eastAsia="pt-BR"/>
        </w:rPr>
        <w:t xml:space="preserve">ontratação de 01 (uma) inscrição para o curso Qualificação para Data </w:t>
      </w:r>
      <w:proofErr w:type="spellStart"/>
      <w:r w:rsidR="00A51DBE" w:rsidRPr="00A51DBE">
        <w:rPr>
          <w:rFonts w:cs="Arial"/>
          <w:b/>
          <w:bCs/>
          <w:sz w:val="23"/>
          <w:szCs w:val="23"/>
          <w:lang w:eastAsia="pt-BR"/>
        </w:rPr>
        <w:t>Protection</w:t>
      </w:r>
      <w:proofErr w:type="spellEnd"/>
      <w:r w:rsidR="00A51DBE" w:rsidRPr="00A51DBE">
        <w:rPr>
          <w:rFonts w:cs="Arial"/>
          <w:b/>
          <w:bCs/>
          <w:sz w:val="23"/>
          <w:szCs w:val="23"/>
          <w:lang w:eastAsia="pt-BR"/>
        </w:rPr>
        <w:t xml:space="preserve"> </w:t>
      </w:r>
      <w:proofErr w:type="spellStart"/>
      <w:r w:rsidR="00A51DBE" w:rsidRPr="00A51DBE">
        <w:rPr>
          <w:rFonts w:cs="Arial"/>
          <w:b/>
          <w:bCs/>
          <w:sz w:val="23"/>
          <w:szCs w:val="23"/>
          <w:lang w:eastAsia="pt-BR"/>
        </w:rPr>
        <w:t>Officer</w:t>
      </w:r>
      <w:proofErr w:type="spellEnd"/>
      <w:r w:rsidR="00A51DBE" w:rsidRPr="00A51DBE">
        <w:rPr>
          <w:rFonts w:cs="Arial"/>
          <w:b/>
          <w:bCs/>
          <w:sz w:val="23"/>
          <w:szCs w:val="23"/>
          <w:lang w:eastAsia="pt-BR"/>
        </w:rPr>
        <w:t xml:space="preserve"> - DPO para empregado da CESAMA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C94456" w:rsidRPr="00C94456">
        <w:rPr>
          <w:rFonts w:cs="Arial"/>
          <w:b/>
          <w:bCs/>
          <w:sz w:val="23"/>
          <w:szCs w:val="23"/>
          <w:lang w:eastAsia="pt-BR"/>
        </w:rPr>
        <w:t xml:space="preserve">Inexigibilidade nº </w:t>
      </w:r>
      <w:r w:rsidR="00A51DBE">
        <w:rPr>
          <w:rFonts w:cs="Arial"/>
          <w:b/>
          <w:bCs/>
          <w:sz w:val="23"/>
          <w:szCs w:val="23"/>
          <w:lang w:eastAsia="pt-BR"/>
        </w:rPr>
        <w:t>03</w:t>
      </w:r>
      <w:r w:rsidR="00C94456" w:rsidRPr="00C94456">
        <w:rPr>
          <w:rFonts w:cs="Arial"/>
          <w:b/>
          <w:bCs/>
          <w:sz w:val="23"/>
          <w:szCs w:val="23"/>
          <w:lang w:eastAsia="pt-BR"/>
        </w:rPr>
        <w:t>/202</w:t>
      </w:r>
      <w:r w:rsidR="00A51DBE">
        <w:rPr>
          <w:rFonts w:cs="Arial"/>
          <w:b/>
          <w:bCs/>
          <w:sz w:val="23"/>
          <w:szCs w:val="23"/>
          <w:lang w:eastAsia="pt-BR"/>
        </w:rPr>
        <w:t>2</w:t>
      </w:r>
      <w:r w:rsidR="006B4F8C" w:rsidRPr="00E61E11">
        <w:rPr>
          <w:rFonts w:cs="Arial"/>
          <w:sz w:val="23"/>
          <w:szCs w:val="23"/>
          <w:lang w:eastAsia="pt-BR"/>
        </w:rPr>
        <w:t xml:space="preserve">, com fundamento no </w:t>
      </w:r>
      <w:r w:rsidR="00A51DBE" w:rsidRPr="00A51DBE">
        <w:rPr>
          <w:rFonts w:cs="Arial"/>
          <w:sz w:val="23"/>
          <w:szCs w:val="23"/>
          <w:lang w:eastAsia="pt-BR"/>
        </w:rPr>
        <w:t xml:space="preserve">art. 131, inciso II, alínea “f” </w:t>
      </w:r>
      <w:r w:rsidR="00FB10FA" w:rsidRPr="00E61E11">
        <w:rPr>
          <w:rFonts w:cs="Arial"/>
          <w:sz w:val="23"/>
          <w:szCs w:val="23"/>
          <w:lang w:eastAsia="pt-BR"/>
        </w:rPr>
        <w:t xml:space="preserve">da Lei n 13.303/16 e </w:t>
      </w:r>
      <w:r w:rsidR="00D7456C" w:rsidRPr="00E61E11">
        <w:rPr>
          <w:rFonts w:cs="Arial"/>
          <w:sz w:val="23"/>
          <w:szCs w:val="23"/>
          <w:lang w:eastAsia="pt-BR"/>
        </w:rPr>
        <w:t xml:space="preserve">art. </w:t>
      </w:r>
      <w:r w:rsidR="00A1494E" w:rsidRPr="00A51DBE">
        <w:rPr>
          <w:rFonts w:cs="Arial"/>
          <w:sz w:val="23"/>
          <w:szCs w:val="23"/>
          <w:lang w:eastAsia="pt-BR"/>
        </w:rPr>
        <w:t xml:space="preserve">art. 131, inciso II, alínea “f”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DC0DCD" w:rsidRDefault="00DC0DCD" w:rsidP="00DC0DCD">
      <w:pPr>
        <w:spacing w:after="240" w:line="360" w:lineRule="auto"/>
        <w:rPr>
          <w:rFonts w:cs="Arial"/>
          <w:b/>
          <w:bCs/>
          <w:sz w:val="24"/>
          <w:szCs w:val="24"/>
        </w:rPr>
      </w:pPr>
      <w:r>
        <w:rPr>
          <w:rFonts w:cs="Arial"/>
          <w:b/>
          <w:bCs/>
          <w:sz w:val="24"/>
          <w:szCs w:val="24"/>
        </w:rPr>
        <w:t>1.1.1 – Descrição sumária</w:t>
      </w:r>
    </w:p>
    <w:p w:rsidR="00DC0DCD" w:rsidRDefault="00DC0DCD" w:rsidP="00DC0DCD">
      <w:pPr>
        <w:autoSpaceDE w:val="0"/>
        <w:autoSpaceDN w:val="0"/>
        <w:adjustRightInd w:val="0"/>
        <w:spacing w:after="240" w:line="360" w:lineRule="auto"/>
        <w:rPr>
          <w:rFonts w:cs="Arial"/>
          <w:iCs/>
          <w:sz w:val="24"/>
          <w:szCs w:val="24"/>
        </w:rPr>
      </w:pPr>
      <w:r>
        <w:rPr>
          <w:sz w:val="24"/>
          <w:szCs w:val="24"/>
        </w:rPr>
        <w:t>Contratação de 01 (uma) inscrição para o curso</w:t>
      </w:r>
      <w:r w:rsidR="00DD7EF2">
        <w:rPr>
          <w:sz w:val="24"/>
          <w:szCs w:val="24"/>
        </w:rPr>
        <w:t xml:space="preserve"> </w:t>
      </w:r>
      <w:r>
        <w:rPr>
          <w:b/>
          <w:bCs/>
          <w:sz w:val="24"/>
          <w:szCs w:val="24"/>
        </w:rPr>
        <w:t xml:space="preserve">Qualificação para Data </w:t>
      </w:r>
      <w:proofErr w:type="spellStart"/>
      <w:r>
        <w:rPr>
          <w:b/>
          <w:bCs/>
          <w:sz w:val="24"/>
          <w:szCs w:val="24"/>
        </w:rPr>
        <w:t>Protection</w:t>
      </w:r>
      <w:proofErr w:type="spellEnd"/>
      <w:r>
        <w:rPr>
          <w:b/>
          <w:bCs/>
          <w:sz w:val="24"/>
          <w:szCs w:val="24"/>
        </w:rPr>
        <w:t xml:space="preserve"> </w:t>
      </w:r>
      <w:proofErr w:type="spellStart"/>
      <w:r>
        <w:rPr>
          <w:b/>
          <w:bCs/>
          <w:sz w:val="24"/>
          <w:szCs w:val="24"/>
        </w:rPr>
        <w:t>Officer</w:t>
      </w:r>
      <w:proofErr w:type="spellEnd"/>
      <w:r>
        <w:rPr>
          <w:b/>
          <w:bCs/>
          <w:sz w:val="24"/>
          <w:szCs w:val="24"/>
        </w:rPr>
        <w:t xml:space="preserve"> – DPO.</w:t>
      </w:r>
    </w:p>
    <w:p w:rsidR="00DC0DCD" w:rsidRDefault="00DC0DCD" w:rsidP="00DC0DCD">
      <w:pPr>
        <w:spacing w:after="240" w:line="360" w:lineRule="auto"/>
        <w:rPr>
          <w:rFonts w:cs="Arial"/>
          <w:b/>
          <w:bCs/>
          <w:sz w:val="24"/>
          <w:szCs w:val="24"/>
        </w:rPr>
      </w:pPr>
      <w:r>
        <w:rPr>
          <w:rFonts w:cs="Arial"/>
          <w:b/>
          <w:bCs/>
          <w:sz w:val="24"/>
          <w:szCs w:val="24"/>
        </w:rPr>
        <w:lastRenderedPageBreak/>
        <w:t>1.1.2 – Da Descrição do Curso</w:t>
      </w:r>
    </w:p>
    <w:p w:rsidR="00DC0DCD" w:rsidRDefault="00DC0DCD" w:rsidP="00DC0DCD">
      <w:pPr>
        <w:autoSpaceDE w:val="0"/>
        <w:autoSpaceDN w:val="0"/>
        <w:adjustRightInd w:val="0"/>
        <w:spacing w:after="240" w:line="360" w:lineRule="auto"/>
        <w:rPr>
          <w:sz w:val="24"/>
          <w:szCs w:val="24"/>
        </w:rPr>
      </w:pPr>
      <w:r>
        <w:rPr>
          <w:sz w:val="24"/>
          <w:szCs w:val="24"/>
        </w:rPr>
        <w:t xml:space="preserve">Curso: </w:t>
      </w:r>
      <w:r>
        <w:rPr>
          <w:b/>
          <w:bCs/>
          <w:sz w:val="24"/>
          <w:szCs w:val="24"/>
        </w:rPr>
        <w:t xml:space="preserve">Qualificação para Data </w:t>
      </w:r>
      <w:proofErr w:type="spellStart"/>
      <w:r>
        <w:rPr>
          <w:b/>
          <w:bCs/>
          <w:sz w:val="24"/>
          <w:szCs w:val="24"/>
        </w:rPr>
        <w:t>Protection</w:t>
      </w:r>
      <w:proofErr w:type="spellEnd"/>
      <w:r>
        <w:rPr>
          <w:b/>
          <w:bCs/>
          <w:sz w:val="24"/>
          <w:szCs w:val="24"/>
        </w:rPr>
        <w:t xml:space="preserve"> </w:t>
      </w:r>
      <w:proofErr w:type="spellStart"/>
      <w:r>
        <w:rPr>
          <w:b/>
          <w:bCs/>
          <w:sz w:val="24"/>
          <w:szCs w:val="24"/>
        </w:rPr>
        <w:t>Officer</w:t>
      </w:r>
      <w:proofErr w:type="spellEnd"/>
      <w:r>
        <w:rPr>
          <w:b/>
          <w:bCs/>
          <w:sz w:val="24"/>
          <w:szCs w:val="24"/>
        </w:rPr>
        <w:t xml:space="preserve"> – DPO</w:t>
      </w:r>
    </w:p>
    <w:p w:rsidR="00DC0DCD" w:rsidRDefault="00DC0DCD" w:rsidP="00DC0DCD">
      <w:r>
        <w:rPr>
          <w:sz w:val="24"/>
          <w:szCs w:val="24"/>
        </w:rPr>
        <w:t>Carga horária: 48 horas</w:t>
      </w:r>
    </w:p>
    <w:p w:rsidR="00DC0DCD" w:rsidRDefault="00DC0DCD" w:rsidP="00DC0DCD">
      <w:pPr>
        <w:rPr>
          <w:sz w:val="24"/>
          <w:szCs w:val="24"/>
        </w:rPr>
      </w:pPr>
    </w:p>
    <w:p w:rsidR="00DC0DCD" w:rsidRDefault="00DC0DCD" w:rsidP="00DC0DCD">
      <w:pPr>
        <w:rPr>
          <w:sz w:val="24"/>
          <w:szCs w:val="24"/>
        </w:rPr>
      </w:pPr>
      <w:r>
        <w:rPr>
          <w:sz w:val="24"/>
          <w:szCs w:val="24"/>
        </w:rPr>
        <w:t xml:space="preserve">Número de participantes: </w:t>
      </w:r>
      <w:proofErr w:type="gramStart"/>
      <w:r>
        <w:rPr>
          <w:sz w:val="24"/>
          <w:szCs w:val="24"/>
        </w:rPr>
        <w:t>1</w:t>
      </w:r>
      <w:proofErr w:type="gramEnd"/>
    </w:p>
    <w:p w:rsidR="00DC0DCD" w:rsidRDefault="00DC0DCD" w:rsidP="00DC0DCD"/>
    <w:p w:rsidR="00DC0DCD" w:rsidRDefault="00DC0DCD" w:rsidP="00DC0DCD">
      <w:r>
        <w:rPr>
          <w:sz w:val="24"/>
          <w:szCs w:val="24"/>
        </w:rPr>
        <w:t>Período do curso: de 01/02 a 05/04 de 2022</w:t>
      </w:r>
    </w:p>
    <w:p w:rsidR="00DC0DCD" w:rsidRDefault="00DC0DCD" w:rsidP="00DC0DCD">
      <w:pPr>
        <w:rPr>
          <w:color w:val="FF8000"/>
          <w:sz w:val="24"/>
          <w:szCs w:val="24"/>
        </w:rPr>
      </w:pPr>
    </w:p>
    <w:p w:rsidR="00DC0DCD" w:rsidRDefault="00DC0DCD" w:rsidP="00DC0DCD">
      <w:pPr>
        <w:rPr>
          <w:color w:val="000000"/>
          <w:sz w:val="24"/>
          <w:szCs w:val="24"/>
        </w:rPr>
      </w:pPr>
      <w:r>
        <w:rPr>
          <w:color w:val="000000"/>
          <w:sz w:val="24"/>
          <w:szCs w:val="24"/>
        </w:rPr>
        <w:t>Modalidade: Ensino a distância com certificação para carga horária completa: 48 horas.</w:t>
      </w:r>
    </w:p>
    <w:p w:rsidR="00DC0DCD" w:rsidRDefault="00DC0DCD" w:rsidP="00DC0DCD">
      <w:pPr>
        <w:rPr>
          <w:color w:val="000000"/>
          <w:sz w:val="24"/>
          <w:szCs w:val="24"/>
        </w:rPr>
      </w:pPr>
    </w:p>
    <w:p w:rsidR="00DC0DCD" w:rsidRDefault="00DC0DCD" w:rsidP="00DC0DCD">
      <w:r>
        <w:rPr>
          <w:color w:val="000000"/>
          <w:sz w:val="24"/>
          <w:szCs w:val="24"/>
        </w:rPr>
        <w:t>Demais benefícios: Gravação das aulas por 30 dias; Material de apoio (material utilizado pelos professores durante o curso); Certificado de conclusão.</w:t>
      </w:r>
    </w:p>
    <w:p w:rsidR="00DC0DCD" w:rsidRDefault="00DC0DCD" w:rsidP="00DC0DCD"/>
    <w:p w:rsidR="00DC0DCD" w:rsidRDefault="00DC0DCD" w:rsidP="00DC0DCD">
      <w:pPr>
        <w:spacing w:after="240" w:line="360" w:lineRule="auto"/>
        <w:rPr>
          <w:rFonts w:cs="Arial"/>
          <w:b/>
          <w:bCs/>
          <w:sz w:val="24"/>
          <w:szCs w:val="24"/>
        </w:rPr>
      </w:pPr>
      <w:r>
        <w:rPr>
          <w:rFonts w:cs="Arial"/>
          <w:b/>
          <w:bCs/>
          <w:sz w:val="24"/>
          <w:szCs w:val="24"/>
        </w:rPr>
        <w:t>1.1.3 – Do objetivo</w:t>
      </w:r>
    </w:p>
    <w:p w:rsidR="00DC0DCD" w:rsidRDefault="00DC0DCD" w:rsidP="00DC0DCD">
      <w:pPr>
        <w:spacing w:after="240" w:line="360" w:lineRule="auto"/>
        <w:rPr>
          <w:color w:val="000000"/>
          <w:sz w:val="24"/>
          <w:szCs w:val="24"/>
        </w:rPr>
      </w:pPr>
      <w:r>
        <w:rPr>
          <w:color w:val="000000"/>
          <w:sz w:val="24"/>
          <w:szCs w:val="24"/>
        </w:rPr>
        <w:t xml:space="preserve">Aprender conceitos básicos e específicos, bem como aprofundamento de conhecimentos fundamentais para se atuar como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Officer</w:t>
      </w:r>
      <w:proofErr w:type="spellEnd"/>
      <w:r>
        <w:rPr>
          <w:color w:val="000000"/>
          <w:sz w:val="24"/>
          <w:szCs w:val="24"/>
        </w:rPr>
        <w:t xml:space="preserve"> sob a perspectiva da Lei Geral de Proteção de Dados, de acordo com os princípios e orientações da IAPP, é </w:t>
      </w:r>
      <w:proofErr w:type="gramStart"/>
      <w:r>
        <w:rPr>
          <w:color w:val="000000"/>
          <w:sz w:val="24"/>
          <w:szCs w:val="24"/>
        </w:rPr>
        <w:t>a</w:t>
      </w:r>
      <w:proofErr w:type="gramEnd"/>
      <w:r>
        <w:rPr>
          <w:color w:val="000000"/>
          <w:sz w:val="24"/>
          <w:szCs w:val="24"/>
        </w:rPr>
        <w:t xml:space="preserve"> base da grade do </w:t>
      </w:r>
      <w:hyperlink r:id="rId8" w:history="1">
        <w:r>
          <w:rPr>
            <w:rStyle w:val="Hyperlink"/>
            <w:color w:val="000000"/>
          </w:rPr>
          <w:t>CURSO PREPARATÓRIO PARA CDPO</w:t>
        </w:r>
      </w:hyperlink>
      <w:r>
        <w:rPr>
          <w:color w:val="000000"/>
          <w:sz w:val="24"/>
          <w:szCs w:val="24"/>
        </w:rPr>
        <w:t xml:space="preserve">. </w:t>
      </w:r>
    </w:p>
    <w:p w:rsidR="00DC0DCD" w:rsidRDefault="00DC0DCD" w:rsidP="00DC0DCD">
      <w:pPr>
        <w:spacing w:after="240" w:line="360" w:lineRule="auto"/>
        <w:rPr>
          <w:rFonts w:cs="Arial"/>
          <w:b/>
          <w:bCs/>
          <w:sz w:val="24"/>
          <w:szCs w:val="24"/>
        </w:rPr>
      </w:pPr>
      <w:r>
        <w:rPr>
          <w:rFonts w:cs="Arial"/>
          <w:b/>
          <w:bCs/>
          <w:sz w:val="24"/>
          <w:szCs w:val="24"/>
        </w:rPr>
        <w:t>1.1.4 – Do conteúdo programático</w:t>
      </w:r>
    </w:p>
    <w:p w:rsidR="00DC0DCD" w:rsidRDefault="00DC0DCD" w:rsidP="00DC0DCD">
      <w:pPr>
        <w:shd w:val="clear" w:color="auto" w:fill="FFFFFF"/>
        <w:suppressAutoHyphens w:val="0"/>
        <w:spacing w:after="188"/>
        <w:rPr>
          <w:rFonts w:ascii="Helvetica" w:hAnsi="Helvetica"/>
          <w:sz w:val="24"/>
          <w:szCs w:val="24"/>
          <w:lang w:eastAsia="pt-BR"/>
        </w:rPr>
      </w:pPr>
      <w:r>
        <w:rPr>
          <w:rFonts w:ascii="Helvetica" w:hAnsi="Helvetica"/>
          <w:b/>
          <w:bCs/>
          <w:sz w:val="24"/>
          <w:szCs w:val="24"/>
          <w:lang w:eastAsia="pt-BR"/>
        </w:rPr>
        <w:t>AULAS AO VIVO (Sala virtual)</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Aula introdutória</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Escopo material e territorial</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w:t>
      </w:r>
      <w:proofErr w:type="spellStart"/>
      <w:r>
        <w:rPr>
          <w:rFonts w:cs="Arial"/>
          <w:sz w:val="24"/>
          <w:szCs w:val="24"/>
          <w:lang w:eastAsia="pt-BR"/>
        </w:rPr>
        <w:t>arts</w:t>
      </w:r>
      <w:proofErr w:type="spellEnd"/>
      <w:r>
        <w:rPr>
          <w:rFonts w:cs="Arial"/>
          <w:sz w:val="24"/>
          <w:szCs w:val="24"/>
          <w:lang w:eastAsia="pt-BR"/>
        </w:rPr>
        <w:t>. 1º, 3º, 4º e 13 da LGPD</w:t>
      </w:r>
    </w:p>
    <w:p w:rsidR="00DC0DCD" w:rsidRDefault="00DC0DCD" w:rsidP="00DC0DCD">
      <w:pPr>
        <w:numPr>
          <w:ilvl w:val="2"/>
          <w:numId w:val="10"/>
        </w:numPr>
        <w:suppressAutoHyphens w:val="0"/>
        <w:spacing w:before="150"/>
        <w:jc w:val="left"/>
        <w:textAlignment w:val="baseline"/>
        <w:rPr>
          <w:rFonts w:cs="Arial"/>
          <w:sz w:val="24"/>
          <w:szCs w:val="24"/>
          <w:lang w:eastAsia="pt-BR"/>
        </w:rPr>
      </w:pPr>
      <w:r>
        <w:rPr>
          <w:rFonts w:cs="Arial"/>
          <w:sz w:val="24"/>
          <w:szCs w:val="24"/>
          <w:lang w:eastAsia="pt-BR"/>
        </w:rPr>
        <w:t>Comparar com aplicação material e extraterritorial da GDPR</w:t>
      </w:r>
    </w:p>
    <w:p w:rsidR="00DC0DCD" w:rsidRDefault="00DC0DCD" w:rsidP="00DC0DCD">
      <w:pPr>
        <w:numPr>
          <w:ilvl w:val="2"/>
          <w:numId w:val="10"/>
        </w:numPr>
        <w:suppressAutoHyphens w:val="0"/>
        <w:spacing w:before="150"/>
        <w:jc w:val="left"/>
        <w:textAlignment w:val="baseline"/>
        <w:rPr>
          <w:rFonts w:cs="Arial"/>
          <w:sz w:val="24"/>
          <w:szCs w:val="24"/>
          <w:lang w:eastAsia="pt-BR"/>
        </w:rPr>
      </w:pPr>
      <w:r>
        <w:rPr>
          <w:rFonts w:cs="Arial"/>
          <w:sz w:val="24"/>
          <w:szCs w:val="24"/>
          <w:lang w:eastAsia="pt-BR"/>
        </w:rPr>
        <w:t>Trazer elementos presentes no “</w:t>
      </w:r>
      <w:proofErr w:type="spellStart"/>
      <w:r>
        <w:rPr>
          <w:rFonts w:cs="Arial"/>
          <w:sz w:val="24"/>
          <w:szCs w:val="24"/>
          <w:lang w:eastAsia="pt-BR"/>
        </w:rPr>
        <w:t>Guidelines</w:t>
      </w:r>
      <w:proofErr w:type="spellEnd"/>
      <w:r>
        <w:rPr>
          <w:rFonts w:cs="Arial"/>
          <w:sz w:val="24"/>
          <w:szCs w:val="24"/>
          <w:lang w:eastAsia="pt-BR"/>
        </w:rPr>
        <w:t xml:space="preserve"> 3/2018 </w:t>
      </w:r>
      <w:proofErr w:type="spellStart"/>
      <w:r>
        <w:rPr>
          <w:rFonts w:cs="Arial"/>
          <w:sz w:val="24"/>
          <w:szCs w:val="24"/>
          <w:lang w:eastAsia="pt-BR"/>
        </w:rPr>
        <w:t>on</w:t>
      </w:r>
      <w:proofErr w:type="spellEnd"/>
      <w:r>
        <w:rPr>
          <w:rFonts w:cs="Arial"/>
          <w:sz w:val="24"/>
          <w:szCs w:val="24"/>
          <w:lang w:eastAsia="pt-BR"/>
        </w:rPr>
        <w:t xml:space="preserve"> </w:t>
      </w:r>
      <w:proofErr w:type="spellStart"/>
      <w:r>
        <w:rPr>
          <w:rFonts w:cs="Arial"/>
          <w:sz w:val="24"/>
          <w:szCs w:val="24"/>
          <w:lang w:eastAsia="pt-BR"/>
        </w:rPr>
        <w:t>the</w:t>
      </w:r>
      <w:proofErr w:type="spellEnd"/>
      <w:r>
        <w:rPr>
          <w:rFonts w:cs="Arial"/>
          <w:sz w:val="24"/>
          <w:szCs w:val="24"/>
          <w:lang w:eastAsia="pt-BR"/>
        </w:rPr>
        <w:t xml:space="preserve"> territorial </w:t>
      </w:r>
      <w:proofErr w:type="spellStart"/>
      <w:r>
        <w:rPr>
          <w:rFonts w:cs="Arial"/>
          <w:sz w:val="24"/>
          <w:szCs w:val="24"/>
          <w:lang w:eastAsia="pt-BR"/>
        </w:rPr>
        <w:t>scope</w:t>
      </w:r>
      <w:proofErr w:type="spellEnd"/>
      <w:r>
        <w:rPr>
          <w:rFonts w:cs="Arial"/>
          <w:sz w:val="24"/>
          <w:szCs w:val="24"/>
          <w:lang w:eastAsia="pt-BR"/>
        </w:rPr>
        <w:t xml:space="preserve"> </w:t>
      </w:r>
      <w:proofErr w:type="spellStart"/>
      <w:r>
        <w:rPr>
          <w:rFonts w:cs="Arial"/>
          <w:sz w:val="24"/>
          <w:szCs w:val="24"/>
          <w:lang w:eastAsia="pt-BR"/>
        </w:rPr>
        <w:t>of</w:t>
      </w:r>
      <w:proofErr w:type="spellEnd"/>
      <w:r>
        <w:rPr>
          <w:rFonts w:cs="Arial"/>
          <w:sz w:val="24"/>
          <w:szCs w:val="24"/>
          <w:lang w:eastAsia="pt-BR"/>
        </w:rPr>
        <w:t xml:space="preserve"> </w:t>
      </w:r>
      <w:proofErr w:type="spellStart"/>
      <w:r>
        <w:rPr>
          <w:rFonts w:cs="Arial"/>
          <w:sz w:val="24"/>
          <w:szCs w:val="24"/>
          <w:lang w:eastAsia="pt-BR"/>
        </w:rPr>
        <w:t>the</w:t>
      </w:r>
      <w:proofErr w:type="spellEnd"/>
      <w:r>
        <w:rPr>
          <w:rFonts w:cs="Arial"/>
          <w:sz w:val="24"/>
          <w:szCs w:val="24"/>
          <w:lang w:eastAsia="pt-BR"/>
        </w:rPr>
        <w:t xml:space="preserve"> GDPR”</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Conceitos básicos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w:t>
      </w:r>
      <w:proofErr w:type="spellStart"/>
      <w:r>
        <w:rPr>
          <w:rFonts w:cs="Arial"/>
          <w:sz w:val="24"/>
          <w:szCs w:val="24"/>
          <w:lang w:eastAsia="pt-BR"/>
        </w:rPr>
        <w:t>arts</w:t>
      </w:r>
      <w:proofErr w:type="spellEnd"/>
      <w:r>
        <w:rPr>
          <w:rFonts w:cs="Arial"/>
          <w:sz w:val="24"/>
          <w:szCs w:val="24"/>
          <w:lang w:eastAsia="pt-BR"/>
        </w:rPr>
        <w:t>. 5º e 12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Aprofundar os conceitos de dados pessoais e dados pessoas sensíveis, trazendo casos para aplicação prática dos conceitos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Aprofundar os conceitos de dados </w:t>
      </w:r>
      <w:proofErr w:type="spellStart"/>
      <w:r>
        <w:rPr>
          <w:rFonts w:cs="Arial"/>
          <w:sz w:val="24"/>
          <w:szCs w:val="24"/>
          <w:lang w:eastAsia="pt-BR"/>
        </w:rPr>
        <w:t>anonimizados</w:t>
      </w:r>
      <w:proofErr w:type="spellEnd"/>
      <w:r>
        <w:rPr>
          <w:rFonts w:cs="Arial"/>
          <w:sz w:val="24"/>
          <w:szCs w:val="24"/>
          <w:lang w:eastAsia="pt-BR"/>
        </w:rPr>
        <w:t xml:space="preserve"> e </w:t>
      </w:r>
      <w:proofErr w:type="spellStart"/>
      <w:r>
        <w:rPr>
          <w:rFonts w:cs="Arial"/>
          <w:sz w:val="24"/>
          <w:szCs w:val="24"/>
          <w:lang w:eastAsia="pt-BR"/>
        </w:rPr>
        <w:t>pseudonimizados</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elementos previstos no documento “</w:t>
      </w:r>
      <w:proofErr w:type="spellStart"/>
      <w:r>
        <w:rPr>
          <w:rFonts w:cs="Arial"/>
          <w:sz w:val="24"/>
          <w:szCs w:val="24"/>
          <w:lang w:eastAsia="pt-BR"/>
        </w:rPr>
        <w:t>Pseudonymisation</w:t>
      </w:r>
      <w:proofErr w:type="spellEnd"/>
      <w:r>
        <w:rPr>
          <w:rFonts w:cs="Arial"/>
          <w:sz w:val="24"/>
          <w:szCs w:val="24"/>
          <w:lang w:eastAsia="pt-BR"/>
        </w:rPr>
        <w:t xml:space="preserve"> </w:t>
      </w:r>
      <w:proofErr w:type="spellStart"/>
      <w:r>
        <w:rPr>
          <w:rFonts w:cs="Arial"/>
          <w:sz w:val="24"/>
          <w:szCs w:val="24"/>
          <w:lang w:eastAsia="pt-BR"/>
        </w:rPr>
        <w:t>techniques</w:t>
      </w:r>
      <w:proofErr w:type="spellEnd"/>
      <w:r>
        <w:rPr>
          <w:rFonts w:cs="Arial"/>
          <w:sz w:val="24"/>
          <w:szCs w:val="24"/>
          <w:lang w:eastAsia="pt-BR"/>
        </w:rPr>
        <w:t xml:space="preserve"> </w:t>
      </w:r>
      <w:proofErr w:type="spellStart"/>
      <w:r>
        <w:rPr>
          <w:rFonts w:cs="Arial"/>
          <w:sz w:val="24"/>
          <w:szCs w:val="24"/>
          <w:lang w:eastAsia="pt-BR"/>
        </w:rPr>
        <w:t>and</w:t>
      </w:r>
      <w:proofErr w:type="spellEnd"/>
      <w:r>
        <w:rPr>
          <w:rFonts w:cs="Arial"/>
          <w:sz w:val="24"/>
          <w:szCs w:val="24"/>
          <w:lang w:eastAsia="pt-BR"/>
        </w:rPr>
        <w:t xml:space="preserve"> </w:t>
      </w:r>
      <w:proofErr w:type="spellStart"/>
      <w:proofErr w:type="gramStart"/>
      <w:r>
        <w:rPr>
          <w:rFonts w:cs="Arial"/>
          <w:sz w:val="24"/>
          <w:szCs w:val="24"/>
          <w:lang w:eastAsia="pt-BR"/>
        </w:rPr>
        <w:t>best</w:t>
      </w:r>
      <w:proofErr w:type="spellEnd"/>
      <w:proofErr w:type="gramEnd"/>
      <w:r>
        <w:rPr>
          <w:rFonts w:cs="Arial"/>
          <w:sz w:val="24"/>
          <w:szCs w:val="24"/>
          <w:lang w:eastAsia="pt-BR"/>
        </w:rPr>
        <w:t xml:space="preserve"> </w:t>
      </w:r>
      <w:proofErr w:type="spellStart"/>
      <w:r>
        <w:rPr>
          <w:rFonts w:cs="Arial"/>
          <w:sz w:val="24"/>
          <w:szCs w:val="24"/>
          <w:lang w:eastAsia="pt-BR"/>
        </w:rPr>
        <w:t>practices</w:t>
      </w:r>
      <w:proofErr w:type="spellEnd"/>
      <w:r>
        <w:rPr>
          <w:rFonts w:cs="Arial"/>
          <w:sz w:val="24"/>
          <w:szCs w:val="24"/>
          <w:lang w:eastAsia="pt-BR"/>
        </w:rPr>
        <w:t xml:space="preserve">” da ENISA, bem como os </w:t>
      </w:r>
      <w:r>
        <w:rPr>
          <w:rFonts w:cs="Arial"/>
          <w:sz w:val="24"/>
          <w:szCs w:val="24"/>
          <w:lang w:eastAsia="pt-BR"/>
        </w:rPr>
        <w:lastRenderedPageBreak/>
        <w:t xml:space="preserve">elementos sobre </w:t>
      </w:r>
      <w:proofErr w:type="spellStart"/>
      <w:r>
        <w:rPr>
          <w:rFonts w:cs="Arial"/>
          <w:sz w:val="24"/>
          <w:szCs w:val="24"/>
          <w:lang w:eastAsia="pt-BR"/>
        </w:rPr>
        <w:t>anonimização</w:t>
      </w:r>
      <w:proofErr w:type="spellEnd"/>
      <w:r>
        <w:rPr>
          <w:rFonts w:cs="Arial"/>
          <w:sz w:val="24"/>
          <w:szCs w:val="24"/>
          <w:lang w:eastAsia="pt-BR"/>
        </w:rPr>
        <w:t xml:space="preserve"> previstos no “</w:t>
      </w:r>
      <w:proofErr w:type="spellStart"/>
      <w:r>
        <w:rPr>
          <w:rFonts w:cs="Arial"/>
          <w:sz w:val="24"/>
          <w:szCs w:val="24"/>
          <w:lang w:eastAsia="pt-BR"/>
        </w:rPr>
        <w:t>Guidelines</w:t>
      </w:r>
      <w:proofErr w:type="spellEnd"/>
      <w:r>
        <w:rPr>
          <w:rFonts w:cs="Arial"/>
          <w:sz w:val="24"/>
          <w:szCs w:val="24"/>
          <w:lang w:eastAsia="pt-BR"/>
        </w:rPr>
        <w:t xml:space="preserve"> 04/2020 </w:t>
      </w:r>
      <w:proofErr w:type="spellStart"/>
      <w:r>
        <w:rPr>
          <w:rFonts w:cs="Arial"/>
          <w:sz w:val="24"/>
          <w:szCs w:val="24"/>
          <w:lang w:eastAsia="pt-BR"/>
        </w:rPr>
        <w:t>on</w:t>
      </w:r>
      <w:proofErr w:type="spellEnd"/>
      <w:r>
        <w:rPr>
          <w:rFonts w:cs="Arial"/>
          <w:sz w:val="24"/>
          <w:szCs w:val="24"/>
          <w:lang w:eastAsia="pt-BR"/>
        </w:rPr>
        <w:t xml:space="preserve"> </w:t>
      </w:r>
      <w:proofErr w:type="spellStart"/>
      <w:r>
        <w:rPr>
          <w:rFonts w:cs="Arial"/>
          <w:sz w:val="24"/>
          <w:szCs w:val="24"/>
          <w:lang w:eastAsia="pt-BR"/>
        </w:rPr>
        <w:t>the</w:t>
      </w:r>
      <w:proofErr w:type="spellEnd"/>
      <w:r>
        <w:rPr>
          <w:rFonts w:cs="Arial"/>
          <w:sz w:val="24"/>
          <w:szCs w:val="24"/>
          <w:lang w:eastAsia="pt-BR"/>
        </w:rPr>
        <w:t xml:space="preserve"> use </w:t>
      </w:r>
      <w:proofErr w:type="spellStart"/>
      <w:r>
        <w:rPr>
          <w:rFonts w:cs="Arial"/>
          <w:sz w:val="24"/>
          <w:szCs w:val="24"/>
          <w:lang w:eastAsia="pt-BR"/>
        </w:rPr>
        <w:t>of</w:t>
      </w:r>
      <w:proofErr w:type="spellEnd"/>
      <w:r>
        <w:rPr>
          <w:rFonts w:cs="Arial"/>
          <w:sz w:val="24"/>
          <w:szCs w:val="24"/>
          <w:lang w:eastAsia="pt-BR"/>
        </w:rPr>
        <w:t xml:space="preserve"> </w:t>
      </w:r>
      <w:proofErr w:type="spellStart"/>
      <w:r>
        <w:rPr>
          <w:rFonts w:cs="Arial"/>
          <w:sz w:val="24"/>
          <w:szCs w:val="24"/>
          <w:lang w:eastAsia="pt-BR"/>
        </w:rPr>
        <w:t>location</w:t>
      </w:r>
      <w:proofErr w:type="spellEnd"/>
      <w:r>
        <w:rPr>
          <w:rFonts w:cs="Arial"/>
          <w:sz w:val="24"/>
          <w:szCs w:val="24"/>
          <w:lang w:eastAsia="pt-BR"/>
        </w:rPr>
        <w:t xml:space="preserve"> data </w:t>
      </w:r>
      <w:proofErr w:type="spellStart"/>
      <w:r>
        <w:rPr>
          <w:rFonts w:cs="Arial"/>
          <w:sz w:val="24"/>
          <w:szCs w:val="24"/>
          <w:lang w:eastAsia="pt-BR"/>
        </w:rPr>
        <w:t>and</w:t>
      </w:r>
      <w:proofErr w:type="spellEnd"/>
      <w:r>
        <w:rPr>
          <w:rFonts w:cs="Arial"/>
          <w:sz w:val="24"/>
          <w:szCs w:val="24"/>
          <w:lang w:eastAsia="pt-BR"/>
        </w:rPr>
        <w:t xml:space="preserve"> </w:t>
      </w:r>
      <w:proofErr w:type="spellStart"/>
      <w:r>
        <w:rPr>
          <w:rFonts w:cs="Arial"/>
          <w:sz w:val="24"/>
          <w:szCs w:val="24"/>
          <w:lang w:eastAsia="pt-BR"/>
        </w:rPr>
        <w:t>contact</w:t>
      </w:r>
      <w:proofErr w:type="spellEnd"/>
      <w:r>
        <w:rPr>
          <w:rFonts w:cs="Arial"/>
          <w:sz w:val="24"/>
          <w:szCs w:val="24"/>
          <w:lang w:eastAsia="pt-BR"/>
        </w:rPr>
        <w:t xml:space="preserve"> </w:t>
      </w:r>
      <w:proofErr w:type="spellStart"/>
      <w:r>
        <w:rPr>
          <w:rFonts w:cs="Arial"/>
          <w:sz w:val="24"/>
          <w:szCs w:val="24"/>
          <w:lang w:eastAsia="pt-BR"/>
        </w:rPr>
        <w:t>tracing</w:t>
      </w:r>
      <w:proofErr w:type="spellEnd"/>
      <w:r>
        <w:rPr>
          <w:rFonts w:cs="Arial"/>
          <w:sz w:val="24"/>
          <w:szCs w:val="24"/>
          <w:lang w:eastAsia="pt-BR"/>
        </w:rPr>
        <w:t xml:space="preserve"> </w:t>
      </w:r>
      <w:proofErr w:type="spellStart"/>
      <w:r>
        <w:rPr>
          <w:rFonts w:cs="Arial"/>
          <w:sz w:val="24"/>
          <w:szCs w:val="24"/>
          <w:lang w:eastAsia="pt-BR"/>
        </w:rPr>
        <w:t>tools</w:t>
      </w:r>
      <w:proofErr w:type="spellEnd"/>
      <w:r>
        <w:rPr>
          <w:rFonts w:cs="Arial"/>
          <w:sz w:val="24"/>
          <w:szCs w:val="24"/>
          <w:lang w:eastAsia="pt-BR"/>
        </w:rPr>
        <w:t xml:space="preserve"> in </w:t>
      </w:r>
      <w:proofErr w:type="spellStart"/>
      <w:r>
        <w:rPr>
          <w:rFonts w:cs="Arial"/>
          <w:sz w:val="24"/>
          <w:szCs w:val="24"/>
          <w:lang w:eastAsia="pt-BR"/>
        </w:rPr>
        <w:t>the</w:t>
      </w:r>
      <w:proofErr w:type="spellEnd"/>
      <w:r>
        <w:rPr>
          <w:rFonts w:cs="Arial"/>
          <w:sz w:val="24"/>
          <w:szCs w:val="24"/>
          <w:lang w:eastAsia="pt-BR"/>
        </w:rPr>
        <w:t xml:space="preserve"> </w:t>
      </w:r>
      <w:proofErr w:type="spellStart"/>
      <w:r>
        <w:rPr>
          <w:rFonts w:cs="Arial"/>
          <w:sz w:val="24"/>
          <w:szCs w:val="24"/>
          <w:lang w:eastAsia="pt-BR"/>
        </w:rPr>
        <w:t>context</w:t>
      </w:r>
      <w:proofErr w:type="spellEnd"/>
      <w:r>
        <w:rPr>
          <w:rFonts w:cs="Arial"/>
          <w:sz w:val="24"/>
          <w:szCs w:val="24"/>
          <w:lang w:eastAsia="pt-BR"/>
        </w:rPr>
        <w:t xml:space="preserve"> </w:t>
      </w:r>
      <w:proofErr w:type="spellStart"/>
      <w:r>
        <w:rPr>
          <w:rFonts w:cs="Arial"/>
          <w:sz w:val="24"/>
          <w:szCs w:val="24"/>
          <w:lang w:eastAsia="pt-BR"/>
        </w:rPr>
        <w:t>of</w:t>
      </w:r>
      <w:proofErr w:type="spellEnd"/>
      <w:r>
        <w:rPr>
          <w:rFonts w:cs="Arial"/>
          <w:sz w:val="24"/>
          <w:szCs w:val="24"/>
          <w:lang w:eastAsia="pt-BR"/>
        </w:rPr>
        <w:t xml:space="preserve"> </w:t>
      </w:r>
      <w:proofErr w:type="spellStart"/>
      <w:r>
        <w:rPr>
          <w:rFonts w:cs="Arial"/>
          <w:sz w:val="24"/>
          <w:szCs w:val="24"/>
          <w:lang w:eastAsia="pt-BR"/>
        </w:rPr>
        <w:t>the</w:t>
      </w:r>
      <w:proofErr w:type="spellEnd"/>
      <w:r>
        <w:rPr>
          <w:rFonts w:cs="Arial"/>
          <w:sz w:val="24"/>
          <w:szCs w:val="24"/>
          <w:lang w:eastAsia="pt-BR"/>
        </w:rPr>
        <w:t xml:space="preserve"> COVID-19 </w:t>
      </w:r>
      <w:proofErr w:type="spellStart"/>
      <w:r>
        <w:rPr>
          <w:rFonts w:cs="Arial"/>
          <w:sz w:val="24"/>
          <w:szCs w:val="24"/>
          <w:lang w:eastAsia="pt-BR"/>
        </w:rPr>
        <w:t>outbreak</w:t>
      </w:r>
      <w:proofErr w:type="spellEnd"/>
      <w:r>
        <w:rPr>
          <w:rFonts w:cs="Arial"/>
          <w:sz w:val="24"/>
          <w:szCs w:val="24"/>
          <w:lang w:eastAsia="pt-BR"/>
        </w:rPr>
        <w:t>” do EDPB</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Princípios e fundamentos da proteção de dados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w:t>
      </w:r>
      <w:proofErr w:type="spellStart"/>
      <w:r>
        <w:rPr>
          <w:rFonts w:cs="Arial"/>
          <w:sz w:val="24"/>
          <w:szCs w:val="24"/>
          <w:lang w:eastAsia="pt-BR"/>
        </w:rPr>
        <w:t>arts</w:t>
      </w:r>
      <w:proofErr w:type="spellEnd"/>
      <w:r>
        <w:rPr>
          <w:rFonts w:cs="Arial"/>
          <w:sz w:val="24"/>
          <w:szCs w:val="24"/>
          <w:lang w:eastAsia="pt-BR"/>
        </w:rPr>
        <w:t xml:space="preserve">. </w:t>
      </w:r>
      <w:proofErr w:type="gramStart"/>
      <w:r>
        <w:rPr>
          <w:rFonts w:cs="Arial"/>
          <w:sz w:val="24"/>
          <w:szCs w:val="24"/>
          <w:lang w:eastAsia="pt-BR"/>
        </w:rPr>
        <w:t>2º, 6º e 9º</w:t>
      </w:r>
      <w:proofErr w:type="gramEnd"/>
      <w:r>
        <w:rPr>
          <w:rFonts w:cs="Arial"/>
          <w:sz w:val="24"/>
          <w:szCs w:val="24"/>
          <w:lang w:eastAsia="pt-BR"/>
        </w:rPr>
        <w:t xml:space="preserve">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Aprofundar os conceitos de finalidade, adequação e necessidade e comparar com os princípios de </w:t>
      </w:r>
      <w:proofErr w:type="spellStart"/>
      <w:r>
        <w:rPr>
          <w:rFonts w:cs="Arial"/>
          <w:sz w:val="24"/>
          <w:szCs w:val="24"/>
          <w:lang w:eastAsia="pt-BR"/>
        </w:rPr>
        <w:t>lawfulness</w:t>
      </w:r>
      <w:proofErr w:type="spellEnd"/>
      <w:r>
        <w:rPr>
          <w:rFonts w:cs="Arial"/>
          <w:sz w:val="24"/>
          <w:szCs w:val="24"/>
          <w:lang w:eastAsia="pt-BR"/>
        </w:rPr>
        <w:t xml:space="preserve">, </w:t>
      </w:r>
      <w:proofErr w:type="spellStart"/>
      <w:r>
        <w:rPr>
          <w:rFonts w:cs="Arial"/>
          <w:sz w:val="24"/>
          <w:szCs w:val="24"/>
          <w:lang w:eastAsia="pt-BR"/>
        </w:rPr>
        <w:t>fairness</w:t>
      </w:r>
      <w:proofErr w:type="spellEnd"/>
      <w:r>
        <w:rPr>
          <w:rFonts w:cs="Arial"/>
          <w:sz w:val="24"/>
          <w:szCs w:val="24"/>
          <w:lang w:eastAsia="pt-BR"/>
        </w:rPr>
        <w:t xml:space="preserve"> e </w:t>
      </w:r>
      <w:proofErr w:type="spellStart"/>
      <w:r>
        <w:rPr>
          <w:rFonts w:cs="Arial"/>
          <w:sz w:val="24"/>
          <w:szCs w:val="24"/>
          <w:lang w:eastAsia="pt-BR"/>
        </w:rPr>
        <w:t>transparency</w:t>
      </w:r>
      <w:proofErr w:type="spellEnd"/>
      <w:r>
        <w:rPr>
          <w:rFonts w:cs="Arial"/>
          <w:sz w:val="24"/>
          <w:szCs w:val="24"/>
          <w:lang w:eastAsia="pt-BR"/>
        </w:rPr>
        <w:t xml:space="preserve"> da GDPR</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Trazer elementos das orientações do ICO sobre os princípios </w:t>
      </w:r>
      <w:proofErr w:type="spellStart"/>
      <w:r>
        <w:rPr>
          <w:rFonts w:cs="Arial"/>
          <w:sz w:val="24"/>
          <w:szCs w:val="24"/>
          <w:lang w:eastAsia="pt-BR"/>
        </w:rPr>
        <w:t>lawfulness</w:t>
      </w:r>
      <w:proofErr w:type="spellEnd"/>
      <w:r>
        <w:rPr>
          <w:rFonts w:cs="Arial"/>
          <w:sz w:val="24"/>
          <w:szCs w:val="24"/>
          <w:lang w:eastAsia="pt-BR"/>
        </w:rPr>
        <w:t xml:space="preserve">, </w:t>
      </w:r>
      <w:proofErr w:type="spellStart"/>
      <w:r>
        <w:rPr>
          <w:rFonts w:cs="Arial"/>
          <w:sz w:val="24"/>
          <w:szCs w:val="24"/>
          <w:lang w:eastAsia="pt-BR"/>
        </w:rPr>
        <w:t>fairness</w:t>
      </w:r>
      <w:proofErr w:type="spellEnd"/>
      <w:r>
        <w:rPr>
          <w:rFonts w:cs="Arial"/>
          <w:sz w:val="24"/>
          <w:szCs w:val="24"/>
          <w:lang w:eastAsia="pt-BR"/>
        </w:rPr>
        <w:t xml:space="preserve"> e </w:t>
      </w:r>
      <w:proofErr w:type="spellStart"/>
      <w:r>
        <w:rPr>
          <w:rFonts w:cs="Arial"/>
          <w:sz w:val="24"/>
          <w:szCs w:val="24"/>
          <w:lang w:eastAsia="pt-BR"/>
        </w:rPr>
        <w:t>transparency</w:t>
      </w:r>
      <w:proofErr w:type="spellEnd"/>
      <w:r>
        <w:rPr>
          <w:rFonts w:cs="Arial"/>
          <w:sz w:val="24"/>
          <w:szCs w:val="24"/>
          <w:lang w:eastAsia="pt-BR"/>
        </w:rPr>
        <w:t xml:space="preserve"> da GDPR</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Bases Legais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7º, 8º, 9º, 10, 11 e 14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Aprofundar as explicações para cada uma das bases legais previstas na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Fazer comparativo com as bases legais de tratamento de dados previstas na GDPR</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casos práticos de aplicação de cada uma das bases legais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elementos das orientações previstas nas “</w:t>
      </w:r>
      <w:proofErr w:type="spellStart"/>
      <w:r>
        <w:rPr>
          <w:rFonts w:cs="Arial"/>
          <w:sz w:val="24"/>
          <w:szCs w:val="24"/>
          <w:lang w:eastAsia="pt-BR"/>
        </w:rPr>
        <w:t>Guidelines</w:t>
      </w:r>
      <w:proofErr w:type="spellEnd"/>
      <w:r>
        <w:rPr>
          <w:rFonts w:cs="Arial"/>
          <w:sz w:val="24"/>
          <w:szCs w:val="24"/>
          <w:lang w:eastAsia="pt-BR"/>
        </w:rPr>
        <w:t xml:space="preserve"> 05/2020 </w:t>
      </w:r>
      <w:proofErr w:type="spellStart"/>
      <w:r>
        <w:rPr>
          <w:rFonts w:cs="Arial"/>
          <w:sz w:val="24"/>
          <w:szCs w:val="24"/>
          <w:lang w:eastAsia="pt-BR"/>
        </w:rPr>
        <w:t>on</w:t>
      </w:r>
      <w:proofErr w:type="spellEnd"/>
      <w:r>
        <w:rPr>
          <w:rFonts w:cs="Arial"/>
          <w:sz w:val="24"/>
          <w:szCs w:val="24"/>
          <w:lang w:eastAsia="pt-BR"/>
        </w:rPr>
        <w:t xml:space="preserve"> </w:t>
      </w:r>
      <w:proofErr w:type="spellStart"/>
      <w:r>
        <w:rPr>
          <w:rFonts w:cs="Arial"/>
          <w:sz w:val="24"/>
          <w:szCs w:val="24"/>
          <w:lang w:eastAsia="pt-BR"/>
        </w:rPr>
        <w:t>consent</w:t>
      </w:r>
      <w:proofErr w:type="spellEnd"/>
      <w:r>
        <w:rPr>
          <w:rFonts w:cs="Arial"/>
          <w:sz w:val="24"/>
          <w:szCs w:val="24"/>
          <w:lang w:eastAsia="pt-BR"/>
        </w:rPr>
        <w:t xml:space="preserve"> </w:t>
      </w:r>
      <w:proofErr w:type="spellStart"/>
      <w:r>
        <w:rPr>
          <w:rFonts w:cs="Arial"/>
          <w:sz w:val="24"/>
          <w:szCs w:val="24"/>
          <w:lang w:eastAsia="pt-BR"/>
        </w:rPr>
        <w:t>under</w:t>
      </w:r>
      <w:proofErr w:type="spellEnd"/>
      <w:r>
        <w:rPr>
          <w:rFonts w:cs="Arial"/>
          <w:sz w:val="24"/>
          <w:szCs w:val="24"/>
          <w:lang w:eastAsia="pt-BR"/>
        </w:rPr>
        <w:t xml:space="preserve"> </w:t>
      </w:r>
      <w:proofErr w:type="spellStart"/>
      <w:r>
        <w:rPr>
          <w:rFonts w:cs="Arial"/>
          <w:sz w:val="24"/>
          <w:szCs w:val="24"/>
          <w:lang w:eastAsia="pt-BR"/>
        </w:rPr>
        <w:t>Regulation</w:t>
      </w:r>
      <w:proofErr w:type="spellEnd"/>
      <w:r>
        <w:rPr>
          <w:rFonts w:cs="Arial"/>
          <w:sz w:val="24"/>
          <w:szCs w:val="24"/>
          <w:lang w:eastAsia="pt-BR"/>
        </w:rPr>
        <w:t xml:space="preserve"> 2016/679” do EDPB</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 xml:space="preserve">Data </w:t>
      </w:r>
      <w:proofErr w:type="spellStart"/>
      <w:r>
        <w:rPr>
          <w:rFonts w:cs="Arial"/>
          <w:b/>
          <w:bCs/>
          <w:sz w:val="24"/>
          <w:szCs w:val="24"/>
          <w:lang w:eastAsia="pt-BR"/>
        </w:rPr>
        <w:t>Mapping</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37 da LGPD e 30 da GDPR</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motivos </w:t>
      </w:r>
      <w:proofErr w:type="gramStart"/>
      <w:r>
        <w:rPr>
          <w:rFonts w:cs="Arial"/>
          <w:sz w:val="24"/>
          <w:szCs w:val="24"/>
          <w:lang w:eastAsia="pt-BR"/>
        </w:rPr>
        <w:t>do porquê realizar</w:t>
      </w:r>
      <w:proofErr w:type="gramEnd"/>
      <w:r>
        <w:rPr>
          <w:rFonts w:cs="Arial"/>
          <w:sz w:val="24"/>
          <w:szCs w:val="24"/>
          <w:lang w:eastAsia="pt-BR"/>
        </w:rPr>
        <w:t xml:space="preserve"> o mapeamento de dados dentro de um programa de privacidade ou de um projeto de adequação à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as diferenças entre Data </w:t>
      </w:r>
      <w:proofErr w:type="spellStart"/>
      <w:r>
        <w:rPr>
          <w:rFonts w:cs="Arial"/>
          <w:sz w:val="24"/>
          <w:szCs w:val="24"/>
          <w:lang w:eastAsia="pt-BR"/>
        </w:rPr>
        <w:t>Mapping</w:t>
      </w:r>
      <w:proofErr w:type="spellEnd"/>
      <w:r>
        <w:rPr>
          <w:rFonts w:cs="Arial"/>
          <w:sz w:val="24"/>
          <w:szCs w:val="24"/>
          <w:lang w:eastAsia="pt-BR"/>
        </w:rPr>
        <w:t xml:space="preserve"> e Data Discovery</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Aprofundar nas informações que devem constar obrigatoriamente no inventário das atividades de tratamento</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Relatórios de Impacto e LIA</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Resgatar novamente os </w:t>
      </w:r>
      <w:proofErr w:type="spellStart"/>
      <w:r>
        <w:rPr>
          <w:rFonts w:cs="Arial"/>
          <w:sz w:val="24"/>
          <w:szCs w:val="24"/>
          <w:lang w:eastAsia="pt-BR"/>
        </w:rPr>
        <w:t>arts</w:t>
      </w:r>
      <w:proofErr w:type="spellEnd"/>
      <w:r>
        <w:rPr>
          <w:rFonts w:cs="Arial"/>
          <w:sz w:val="24"/>
          <w:szCs w:val="24"/>
          <w:lang w:eastAsia="pt-BR"/>
        </w:rPr>
        <w:t>. 7º, IX, 10º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32, 38 e 55-J, inciso XIII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elementos dos “</w:t>
      </w:r>
      <w:proofErr w:type="spellStart"/>
      <w:r>
        <w:rPr>
          <w:rFonts w:cs="Arial"/>
          <w:sz w:val="24"/>
          <w:szCs w:val="24"/>
          <w:lang w:eastAsia="pt-BR"/>
        </w:rPr>
        <w:t>Guidelines</w:t>
      </w:r>
      <w:proofErr w:type="spellEnd"/>
      <w:r>
        <w:rPr>
          <w:rFonts w:cs="Arial"/>
          <w:sz w:val="24"/>
          <w:szCs w:val="24"/>
          <w:lang w:eastAsia="pt-BR"/>
        </w:rPr>
        <w:t xml:space="preserve"> </w:t>
      </w:r>
      <w:proofErr w:type="spellStart"/>
      <w:r>
        <w:rPr>
          <w:rFonts w:cs="Arial"/>
          <w:sz w:val="24"/>
          <w:szCs w:val="24"/>
          <w:lang w:eastAsia="pt-BR"/>
        </w:rPr>
        <w:t>on</w:t>
      </w:r>
      <w:proofErr w:type="spellEnd"/>
      <w:r>
        <w:rPr>
          <w:rFonts w:cs="Arial"/>
          <w:sz w:val="24"/>
          <w:szCs w:val="24"/>
          <w:lang w:eastAsia="pt-BR"/>
        </w:rPr>
        <w:t xml:space="preserve"> Data </w:t>
      </w:r>
      <w:proofErr w:type="spellStart"/>
      <w:r>
        <w:rPr>
          <w:rFonts w:cs="Arial"/>
          <w:sz w:val="24"/>
          <w:szCs w:val="24"/>
          <w:lang w:eastAsia="pt-BR"/>
        </w:rPr>
        <w:t>Protection</w:t>
      </w:r>
      <w:proofErr w:type="spellEnd"/>
      <w:r>
        <w:rPr>
          <w:rFonts w:cs="Arial"/>
          <w:sz w:val="24"/>
          <w:szCs w:val="24"/>
          <w:lang w:eastAsia="pt-BR"/>
        </w:rPr>
        <w:t xml:space="preserve"> </w:t>
      </w:r>
      <w:proofErr w:type="spellStart"/>
      <w:r>
        <w:rPr>
          <w:rFonts w:cs="Arial"/>
          <w:sz w:val="24"/>
          <w:szCs w:val="24"/>
          <w:lang w:eastAsia="pt-BR"/>
        </w:rPr>
        <w:t>Impact</w:t>
      </w:r>
      <w:proofErr w:type="spellEnd"/>
      <w:r>
        <w:rPr>
          <w:rFonts w:cs="Arial"/>
          <w:sz w:val="24"/>
          <w:szCs w:val="24"/>
          <w:lang w:eastAsia="pt-BR"/>
        </w:rPr>
        <w:t xml:space="preserve"> </w:t>
      </w:r>
      <w:proofErr w:type="spellStart"/>
      <w:r>
        <w:rPr>
          <w:rFonts w:cs="Arial"/>
          <w:sz w:val="24"/>
          <w:szCs w:val="24"/>
          <w:lang w:eastAsia="pt-BR"/>
        </w:rPr>
        <w:t>Assessment</w:t>
      </w:r>
      <w:proofErr w:type="spellEnd"/>
      <w:r>
        <w:rPr>
          <w:rFonts w:cs="Arial"/>
          <w:sz w:val="24"/>
          <w:szCs w:val="24"/>
          <w:lang w:eastAsia="pt-BR"/>
        </w:rPr>
        <w:t xml:space="preserve"> (DPIA) </w:t>
      </w:r>
      <w:proofErr w:type="spellStart"/>
      <w:r>
        <w:rPr>
          <w:rFonts w:cs="Arial"/>
          <w:sz w:val="24"/>
          <w:szCs w:val="24"/>
          <w:lang w:eastAsia="pt-BR"/>
        </w:rPr>
        <w:t>and</w:t>
      </w:r>
      <w:proofErr w:type="spellEnd"/>
      <w:r>
        <w:rPr>
          <w:rFonts w:cs="Arial"/>
          <w:sz w:val="24"/>
          <w:szCs w:val="24"/>
          <w:lang w:eastAsia="pt-BR"/>
        </w:rPr>
        <w:t xml:space="preserve"> </w:t>
      </w:r>
      <w:proofErr w:type="spellStart"/>
      <w:r>
        <w:rPr>
          <w:rFonts w:cs="Arial"/>
          <w:sz w:val="24"/>
          <w:szCs w:val="24"/>
          <w:lang w:eastAsia="pt-BR"/>
        </w:rPr>
        <w:t>determining</w:t>
      </w:r>
      <w:proofErr w:type="spellEnd"/>
      <w:r>
        <w:rPr>
          <w:rFonts w:cs="Arial"/>
          <w:sz w:val="24"/>
          <w:szCs w:val="24"/>
          <w:lang w:eastAsia="pt-BR"/>
        </w:rPr>
        <w:t xml:space="preserve"> </w:t>
      </w:r>
      <w:proofErr w:type="spellStart"/>
      <w:r>
        <w:rPr>
          <w:rFonts w:cs="Arial"/>
          <w:sz w:val="24"/>
          <w:szCs w:val="24"/>
          <w:lang w:eastAsia="pt-BR"/>
        </w:rPr>
        <w:t>whether</w:t>
      </w:r>
      <w:proofErr w:type="spellEnd"/>
      <w:r>
        <w:rPr>
          <w:rFonts w:cs="Arial"/>
          <w:sz w:val="24"/>
          <w:szCs w:val="24"/>
          <w:lang w:eastAsia="pt-BR"/>
        </w:rPr>
        <w:t xml:space="preserve"> </w:t>
      </w:r>
      <w:proofErr w:type="spellStart"/>
      <w:r>
        <w:rPr>
          <w:rFonts w:cs="Arial"/>
          <w:sz w:val="24"/>
          <w:szCs w:val="24"/>
          <w:lang w:eastAsia="pt-BR"/>
        </w:rPr>
        <w:t>processing</w:t>
      </w:r>
      <w:proofErr w:type="spellEnd"/>
      <w:r>
        <w:rPr>
          <w:rFonts w:cs="Arial"/>
          <w:sz w:val="24"/>
          <w:szCs w:val="24"/>
          <w:lang w:eastAsia="pt-BR"/>
        </w:rPr>
        <w:t xml:space="preserve"> is “</w:t>
      </w:r>
      <w:proofErr w:type="spellStart"/>
      <w:r>
        <w:rPr>
          <w:rFonts w:cs="Arial"/>
          <w:sz w:val="24"/>
          <w:szCs w:val="24"/>
          <w:lang w:eastAsia="pt-BR"/>
        </w:rPr>
        <w:t>likely</w:t>
      </w:r>
      <w:proofErr w:type="spellEnd"/>
      <w:r>
        <w:rPr>
          <w:rFonts w:cs="Arial"/>
          <w:sz w:val="24"/>
          <w:szCs w:val="24"/>
          <w:lang w:eastAsia="pt-BR"/>
        </w:rPr>
        <w:t xml:space="preserve"> to </w:t>
      </w:r>
      <w:proofErr w:type="spellStart"/>
      <w:r>
        <w:rPr>
          <w:rFonts w:cs="Arial"/>
          <w:sz w:val="24"/>
          <w:szCs w:val="24"/>
          <w:lang w:eastAsia="pt-BR"/>
        </w:rPr>
        <w:t>result</w:t>
      </w:r>
      <w:proofErr w:type="spellEnd"/>
      <w:r>
        <w:rPr>
          <w:rFonts w:cs="Arial"/>
          <w:sz w:val="24"/>
          <w:szCs w:val="24"/>
          <w:lang w:eastAsia="pt-BR"/>
        </w:rPr>
        <w:t xml:space="preserve"> in a </w:t>
      </w:r>
      <w:proofErr w:type="spellStart"/>
      <w:r>
        <w:rPr>
          <w:rFonts w:cs="Arial"/>
          <w:sz w:val="24"/>
          <w:szCs w:val="24"/>
          <w:lang w:eastAsia="pt-BR"/>
        </w:rPr>
        <w:t>high</w:t>
      </w:r>
      <w:proofErr w:type="spellEnd"/>
      <w:r>
        <w:rPr>
          <w:rFonts w:cs="Arial"/>
          <w:sz w:val="24"/>
          <w:szCs w:val="24"/>
          <w:lang w:eastAsia="pt-BR"/>
        </w:rPr>
        <w:t xml:space="preserve"> </w:t>
      </w:r>
      <w:proofErr w:type="spellStart"/>
      <w:r>
        <w:rPr>
          <w:rFonts w:cs="Arial"/>
          <w:sz w:val="24"/>
          <w:szCs w:val="24"/>
          <w:lang w:eastAsia="pt-BR"/>
        </w:rPr>
        <w:t>risk</w:t>
      </w:r>
      <w:proofErr w:type="spellEnd"/>
      <w:r>
        <w:rPr>
          <w:rFonts w:cs="Arial"/>
          <w:sz w:val="24"/>
          <w:szCs w:val="24"/>
          <w:lang w:eastAsia="pt-BR"/>
        </w:rPr>
        <w:t xml:space="preserve">” for </w:t>
      </w:r>
      <w:proofErr w:type="spellStart"/>
      <w:r>
        <w:rPr>
          <w:rFonts w:cs="Arial"/>
          <w:sz w:val="24"/>
          <w:szCs w:val="24"/>
          <w:lang w:eastAsia="pt-BR"/>
        </w:rPr>
        <w:t>the</w:t>
      </w:r>
      <w:proofErr w:type="spellEnd"/>
      <w:r>
        <w:rPr>
          <w:rFonts w:cs="Arial"/>
          <w:sz w:val="24"/>
          <w:szCs w:val="24"/>
          <w:lang w:eastAsia="pt-BR"/>
        </w:rPr>
        <w:t xml:space="preserve"> </w:t>
      </w:r>
      <w:proofErr w:type="spellStart"/>
      <w:r>
        <w:rPr>
          <w:rFonts w:cs="Arial"/>
          <w:sz w:val="24"/>
          <w:szCs w:val="24"/>
          <w:lang w:eastAsia="pt-BR"/>
        </w:rPr>
        <w:t>purposes</w:t>
      </w:r>
      <w:proofErr w:type="spellEnd"/>
      <w:r>
        <w:rPr>
          <w:rFonts w:cs="Arial"/>
          <w:sz w:val="24"/>
          <w:szCs w:val="24"/>
          <w:lang w:eastAsia="pt-BR"/>
        </w:rPr>
        <w:t xml:space="preserve"> </w:t>
      </w:r>
      <w:proofErr w:type="spellStart"/>
      <w:r>
        <w:rPr>
          <w:rFonts w:cs="Arial"/>
          <w:sz w:val="24"/>
          <w:szCs w:val="24"/>
          <w:lang w:eastAsia="pt-BR"/>
        </w:rPr>
        <w:t>of</w:t>
      </w:r>
      <w:proofErr w:type="spellEnd"/>
      <w:r>
        <w:rPr>
          <w:rFonts w:cs="Arial"/>
          <w:sz w:val="24"/>
          <w:szCs w:val="24"/>
          <w:lang w:eastAsia="pt-BR"/>
        </w:rPr>
        <w:t xml:space="preserve"> </w:t>
      </w:r>
      <w:proofErr w:type="spellStart"/>
      <w:r>
        <w:rPr>
          <w:rFonts w:cs="Arial"/>
          <w:sz w:val="24"/>
          <w:szCs w:val="24"/>
          <w:lang w:eastAsia="pt-BR"/>
        </w:rPr>
        <w:t>Regulation</w:t>
      </w:r>
      <w:proofErr w:type="spellEnd"/>
      <w:r>
        <w:rPr>
          <w:rFonts w:cs="Arial"/>
          <w:sz w:val="24"/>
          <w:szCs w:val="24"/>
          <w:lang w:eastAsia="pt-BR"/>
        </w:rPr>
        <w:t xml:space="preserve"> 2016/679″, do EDPB</w:t>
      </w:r>
    </w:p>
    <w:p w:rsidR="00DC0DCD" w:rsidRDefault="00DC0DCD" w:rsidP="00DC0DCD">
      <w:pPr>
        <w:numPr>
          <w:ilvl w:val="0"/>
          <w:numId w:val="10"/>
        </w:numPr>
        <w:suppressAutoHyphens w:val="0"/>
        <w:spacing w:before="150"/>
        <w:jc w:val="left"/>
        <w:textAlignment w:val="baseline"/>
        <w:rPr>
          <w:rFonts w:cs="Arial"/>
          <w:sz w:val="24"/>
          <w:szCs w:val="24"/>
          <w:lang w:eastAsia="pt-BR"/>
        </w:rPr>
      </w:pPr>
      <w:proofErr w:type="spellStart"/>
      <w:r>
        <w:rPr>
          <w:rFonts w:cs="Arial"/>
          <w:b/>
          <w:bCs/>
          <w:sz w:val="24"/>
          <w:szCs w:val="24"/>
          <w:lang w:eastAsia="pt-BR"/>
        </w:rPr>
        <w:t>Compliance</w:t>
      </w:r>
      <w:proofErr w:type="spellEnd"/>
      <w:r>
        <w:rPr>
          <w:rFonts w:cs="Arial"/>
          <w:b/>
          <w:bCs/>
          <w:sz w:val="24"/>
          <w:szCs w:val="24"/>
          <w:lang w:eastAsia="pt-BR"/>
        </w:rPr>
        <w:t xml:space="preserve"> e Governança</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Abordar o art. 50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lastRenderedPageBreak/>
        <w:t xml:space="preserve">Abordar os conceitos e pilares de governança corporativa e programas de </w:t>
      </w:r>
      <w:proofErr w:type="spellStart"/>
      <w:r>
        <w:rPr>
          <w:rFonts w:cs="Arial"/>
          <w:sz w:val="24"/>
          <w:szCs w:val="24"/>
          <w:lang w:eastAsia="pt-BR"/>
        </w:rPr>
        <w:t>compliance</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conceitos e pilares de governança de dados e programas de </w:t>
      </w:r>
      <w:proofErr w:type="spellStart"/>
      <w:r>
        <w:rPr>
          <w:rFonts w:cs="Arial"/>
          <w:sz w:val="24"/>
          <w:szCs w:val="24"/>
          <w:lang w:eastAsia="pt-BR"/>
        </w:rPr>
        <w:t>compliance</w:t>
      </w:r>
      <w:proofErr w:type="spellEnd"/>
      <w:r>
        <w:rPr>
          <w:rFonts w:cs="Arial"/>
          <w:sz w:val="24"/>
          <w:szCs w:val="24"/>
          <w:lang w:eastAsia="pt-BR"/>
        </w:rPr>
        <w:t xml:space="preserve"> em proteção de dados pessoais e a relação destes com o princípio do </w:t>
      </w:r>
      <w:proofErr w:type="spellStart"/>
      <w:r>
        <w:rPr>
          <w:rFonts w:cs="Arial"/>
          <w:sz w:val="24"/>
          <w:szCs w:val="24"/>
          <w:lang w:eastAsia="pt-BR"/>
        </w:rPr>
        <w:t>accountability</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 diferença entre programas de privacidade e de segurança da informação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os modelos de governança possíveis (centralizado, descentralizado e híbrido)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Trazer elementos do IAPP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Governance</w:t>
      </w:r>
      <w:proofErr w:type="spellEnd"/>
      <w:r>
        <w:rPr>
          <w:rFonts w:cs="Arial"/>
          <w:sz w:val="24"/>
          <w:szCs w:val="24"/>
          <w:lang w:eastAsia="pt-BR"/>
        </w:rPr>
        <w:t xml:space="preserve"> </w:t>
      </w:r>
      <w:proofErr w:type="spellStart"/>
      <w:r>
        <w:rPr>
          <w:rFonts w:cs="Arial"/>
          <w:sz w:val="24"/>
          <w:szCs w:val="24"/>
          <w:lang w:eastAsia="pt-BR"/>
        </w:rPr>
        <w:t>Report</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diferentes tipos de frameworks de privacidade, a razão da existência destas ferramentas e como </w:t>
      </w:r>
      <w:proofErr w:type="spellStart"/>
      <w:r>
        <w:rPr>
          <w:rFonts w:cs="Arial"/>
          <w:sz w:val="24"/>
          <w:szCs w:val="24"/>
          <w:lang w:eastAsia="pt-BR"/>
        </w:rPr>
        <w:t>utiliza-las</w:t>
      </w:r>
      <w:proofErr w:type="spellEnd"/>
      <w:r>
        <w:rPr>
          <w:rFonts w:cs="Arial"/>
          <w:sz w:val="24"/>
          <w:szCs w:val="24"/>
          <w:lang w:eastAsia="pt-BR"/>
        </w:rPr>
        <w:t xml:space="preserve"> para construir e gerir um programa de privacidade</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 xml:space="preserve">As funções de </w:t>
      </w:r>
      <w:proofErr w:type="spellStart"/>
      <w:r>
        <w:rPr>
          <w:rFonts w:cs="Arial"/>
          <w:b/>
          <w:bCs/>
          <w:sz w:val="24"/>
          <w:szCs w:val="24"/>
          <w:lang w:eastAsia="pt-BR"/>
        </w:rPr>
        <w:t>compliance</w:t>
      </w:r>
      <w:proofErr w:type="spellEnd"/>
      <w:r>
        <w:rPr>
          <w:rFonts w:cs="Arial"/>
          <w:b/>
          <w:bCs/>
          <w:sz w:val="24"/>
          <w:szCs w:val="24"/>
          <w:lang w:eastAsia="pt-BR"/>
        </w:rPr>
        <w:t xml:space="preserve"> e o DPO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 art. 41 da LGPD e </w:t>
      </w:r>
      <w:proofErr w:type="spellStart"/>
      <w:r>
        <w:rPr>
          <w:rFonts w:cs="Arial"/>
          <w:sz w:val="24"/>
          <w:szCs w:val="24"/>
          <w:lang w:eastAsia="pt-BR"/>
        </w:rPr>
        <w:t>arts</w:t>
      </w:r>
      <w:proofErr w:type="spellEnd"/>
      <w:r>
        <w:rPr>
          <w:rFonts w:cs="Arial"/>
          <w:sz w:val="24"/>
          <w:szCs w:val="24"/>
          <w:lang w:eastAsia="pt-BR"/>
        </w:rPr>
        <w:t xml:space="preserve">. </w:t>
      </w:r>
      <w:proofErr w:type="gramStart"/>
      <w:r>
        <w:rPr>
          <w:rFonts w:cs="Arial"/>
          <w:sz w:val="24"/>
          <w:szCs w:val="24"/>
          <w:lang w:eastAsia="pt-BR"/>
        </w:rPr>
        <w:t>37, 38 e 39</w:t>
      </w:r>
      <w:proofErr w:type="gramEnd"/>
      <w:r>
        <w:rPr>
          <w:rFonts w:cs="Arial"/>
          <w:sz w:val="24"/>
          <w:szCs w:val="24"/>
          <w:lang w:eastAsia="pt-BR"/>
        </w:rPr>
        <w:t xml:space="preserve"> da GDPR</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Trazer a importância do DPO/Gestor do programa de </w:t>
      </w:r>
      <w:proofErr w:type="spellStart"/>
      <w:r>
        <w:rPr>
          <w:rFonts w:cs="Arial"/>
          <w:sz w:val="24"/>
          <w:szCs w:val="24"/>
          <w:lang w:eastAsia="pt-BR"/>
        </w:rPr>
        <w:t>compliance</w:t>
      </w:r>
      <w:proofErr w:type="spellEnd"/>
      <w:r>
        <w:rPr>
          <w:rFonts w:cs="Arial"/>
          <w:sz w:val="24"/>
          <w:szCs w:val="24"/>
          <w:lang w:eastAsia="pt-BR"/>
        </w:rPr>
        <w:t xml:space="preserve"> em privacidade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as atividades requeridas em lei e sugeridas pelas boas práticas de um DPO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as problemáticas de independência do DPO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as questões relacionadas à responsabilidade civil e criminal do DPO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as habilidades e requisitos necessários para se exercer a função de DPO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Como estruturar a posição do DPO nas organizações</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Políticas, procedimentos, monitoramento e auditoria</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Abordar a conceituação e importância de se ter políticas e procedimentos de privacidade, dentro do contexto de criação e gestão de um programa de privacidade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Abordar a conceituação e importância de se monitorar e auditar um programa de privacidade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Abordar a diferença entre monitoramento e auditoria de programas de privacidade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exemplos de indicadores para mensurar a efetividade de um programa de privacidade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exemplos de políticas de privacidade, de atividades de monitoramento e de indicadores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lastRenderedPageBreak/>
        <w:t>Trazer a importância do papel do DPO/Gestor do programa de privacidade, na implantação de políticas e procedimentos internos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Demonstrar os possíveis processos de implantação de políticas e procedimentos internos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Indicar como estes elementos auxiliam no cumprimento do art. 50 da LGPD e do princípio do </w:t>
      </w:r>
      <w:proofErr w:type="spellStart"/>
      <w:r>
        <w:rPr>
          <w:rFonts w:cs="Arial"/>
          <w:sz w:val="24"/>
          <w:szCs w:val="24"/>
          <w:lang w:eastAsia="pt-BR"/>
        </w:rPr>
        <w:t>accountability</w:t>
      </w:r>
      <w:proofErr w:type="spellEnd"/>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Treinamento e Conscientização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a importância da criação de cultura de proteção de dados para programas de </w:t>
      </w:r>
      <w:proofErr w:type="spellStart"/>
      <w:r>
        <w:rPr>
          <w:rFonts w:cs="Arial"/>
          <w:sz w:val="24"/>
          <w:szCs w:val="24"/>
          <w:lang w:eastAsia="pt-BR"/>
        </w:rPr>
        <w:t>compliance</w:t>
      </w:r>
      <w:proofErr w:type="spellEnd"/>
      <w:r>
        <w:rPr>
          <w:rFonts w:cs="Arial"/>
          <w:sz w:val="24"/>
          <w:szCs w:val="24"/>
          <w:lang w:eastAsia="pt-BR"/>
        </w:rPr>
        <w:t xml:space="preserve"> em privacidade</w:t>
      </w:r>
    </w:p>
    <w:p w:rsidR="00DC0DCD" w:rsidRDefault="00DC0DCD" w:rsidP="00DC0DCD">
      <w:pPr>
        <w:numPr>
          <w:ilvl w:val="0"/>
          <w:numId w:val="10"/>
        </w:numPr>
        <w:suppressAutoHyphens w:val="0"/>
        <w:spacing w:before="150"/>
        <w:jc w:val="left"/>
        <w:textAlignment w:val="baseline"/>
        <w:rPr>
          <w:rFonts w:cs="Arial"/>
          <w:sz w:val="24"/>
          <w:szCs w:val="24"/>
          <w:lang w:eastAsia="pt-BR"/>
        </w:rPr>
      </w:pPr>
      <w:proofErr w:type="spellStart"/>
      <w:r>
        <w:rPr>
          <w:rFonts w:cs="Arial"/>
          <w:b/>
          <w:bCs/>
          <w:sz w:val="24"/>
          <w:szCs w:val="24"/>
          <w:lang w:eastAsia="pt-BR"/>
        </w:rPr>
        <w:t>Privacy</w:t>
      </w:r>
      <w:proofErr w:type="spellEnd"/>
      <w:r>
        <w:rPr>
          <w:rFonts w:cs="Arial"/>
          <w:b/>
          <w:bCs/>
          <w:sz w:val="24"/>
          <w:szCs w:val="24"/>
          <w:lang w:eastAsia="pt-BR"/>
        </w:rPr>
        <w:t xml:space="preserve"> </w:t>
      </w:r>
      <w:proofErr w:type="spellStart"/>
      <w:r>
        <w:rPr>
          <w:rFonts w:cs="Arial"/>
          <w:b/>
          <w:bCs/>
          <w:sz w:val="24"/>
          <w:szCs w:val="24"/>
          <w:lang w:eastAsia="pt-BR"/>
        </w:rPr>
        <w:t>by</w:t>
      </w:r>
      <w:proofErr w:type="spellEnd"/>
      <w:r>
        <w:rPr>
          <w:rFonts w:cs="Arial"/>
          <w:b/>
          <w:bCs/>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 conceito de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de forma superficial, a metodologia de Design </w:t>
      </w:r>
      <w:proofErr w:type="spellStart"/>
      <w:r>
        <w:rPr>
          <w:rFonts w:cs="Arial"/>
          <w:sz w:val="24"/>
          <w:szCs w:val="24"/>
          <w:lang w:eastAsia="pt-BR"/>
        </w:rPr>
        <w:t>Thinking</w:t>
      </w:r>
      <w:proofErr w:type="spellEnd"/>
      <w:r>
        <w:rPr>
          <w:rFonts w:cs="Arial"/>
          <w:sz w:val="24"/>
          <w:szCs w:val="24"/>
          <w:lang w:eastAsia="pt-BR"/>
        </w:rPr>
        <w:t xml:space="preserve"> dentro do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as previsões da LGPD e da GDPR sobre o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 e </w:t>
      </w:r>
      <w:proofErr w:type="spellStart"/>
      <w:r>
        <w:rPr>
          <w:rFonts w:cs="Arial"/>
          <w:sz w:val="24"/>
          <w:szCs w:val="24"/>
          <w:lang w:eastAsia="pt-BR"/>
        </w:rPr>
        <w:t>by</w:t>
      </w:r>
      <w:proofErr w:type="spellEnd"/>
      <w:r>
        <w:rPr>
          <w:rFonts w:cs="Arial"/>
          <w:sz w:val="24"/>
          <w:szCs w:val="24"/>
          <w:lang w:eastAsia="pt-BR"/>
        </w:rPr>
        <w:t xml:space="preserve"> default</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como a função do DPO/Gestor do programa de privacidade pode apoiar a implantação prática de um processo de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 xml:space="preserve">Abordar o conceito de </w:t>
      </w:r>
      <w:proofErr w:type="spellStart"/>
      <w:r>
        <w:rPr>
          <w:rFonts w:cs="Arial"/>
          <w:b/>
          <w:bCs/>
          <w:sz w:val="24"/>
          <w:szCs w:val="24"/>
          <w:lang w:eastAsia="pt-BR"/>
        </w:rPr>
        <w:t>privacy</w:t>
      </w:r>
      <w:proofErr w:type="spellEnd"/>
      <w:r>
        <w:rPr>
          <w:rFonts w:cs="Arial"/>
          <w:b/>
          <w:bCs/>
          <w:sz w:val="24"/>
          <w:szCs w:val="24"/>
          <w:lang w:eastAsia="pt-BR"/>
        </w:rPr>
        <w:t xml:space="preserve"> </w:t>
      </w:r>
      <w:proofErr w:type="spellStart"/>
      <w:r>
        <w:rPr>
          <w:rFonts w:cs="Arial"/>
          <w:b/>
          <w:bCs/>
          <w:sz w:val="24"/>
          <w:szCs w:val="24"/>
          <w:lang w:eastAsia="pt-BR"/>
        </w:rPr>
        <w:t>by</w:t>
      </w:r>
      <w:proofErr w:type="spellEnd"/>
      <w:r>
        <w:rPr>
          <w:rFonts w:cs="Arial"/>
          <w:b/>
          <w:bCs/>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de forma superficial, a metodologia de Design </w:t>
      </w:r>
      <w:proofErr w:type="spellStart"/>
      <w:r>
        <w:rPr>
          <w:rFonts w:cs="Arial"/>
          <w:sz w:val="24"/>
          <w:szCs w:val="24"/>
          <w:lang w:eastAsia="pt-BR"/>
        </w:rPr>
        <w:t>Thinking</w:t>
      </w:r>
      <w:proofErr w:type="spellEnd"/>
      <w:r>
        <w:rPr>
          <w:rFonts w:cs="Arial"/>
          <w:sz w:val="24"/>
          <w:szCs w:val="24"/>
          <w:lang w:eastAsia="pt-BR"/>
        </w:rPr>
        <w:t xml:space="preserve"> dentro do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as previsões da LGPD e da GDPR sobre o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 e </w:t>
      </w:r>
      <w:proofErr w:type="spellStart"/>
      <w:r>
        <w:rPr>
          <w:rFonts w:cs="Arial"/>
          <w:sz w:val="24"/>
          <w:szCs w:val="24"/>
          <w:lang w:eastAsia="pt-BR"/>
        </w:rPr>
        <w:t>by</w:t>
      </w:r>
      <w:proofErr w:type="spellEnd"/>
      <w:r>
        <w:rPr>
          <w:rFonts w:cs="Arial"/>
          <w:sz w:val="24"/>
          <w:szCs w:val="24"/>
          <w:lang w:eastAsia="pt-BR"/>
        </w:rPr>
        <w:t xml:space="preserve"> default</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Pontuar como a função do DPO/Gestor do programa de privacidade pode apoiar a implantação prática de um processo de </w:t>
      </w:r>
      <w:proofErr w:type="spellStart"/>
      <w:r>
        <w:rPr>
          <w:rFonts w:cs="Arial"/>
          <w:sz w:val="24"/>
          <w:szCs w:val="24"/>
          <w:lang w:eastAsia="pt-BR"/>
        </w:rPr>
        <w:t>privacy</w:t>
      </w:r>
      <w:proofErr w:type="spellEnd"/>
      <w:r>
        <w:rPr>
          <w:rFonts w:cs="Arial"/>
          <w:sz w:val="24"/>
          <w:szCs w:val="24"/>
          <w:lang w:eastAsia="pt-BR"/>
        </w:rPr>
        <w:t xml:space="preserve"> </w:t>
      </w:r>
      <w:proofErr w:type="spellStart"/>
      <w:r>
        <w:rPr>
          <w:rFonts w:cs="Arial"/>
          <w:sz w:val="24"/>
          <w:szCs w:val="24"/>
          <w:lang w:eastAsia="pt-BR"/>
        </w:rPr>
        <w:t>by</w:t>
      </w:r>
      <w:proofErr w:type="spellEnd"/>
      <w:r>
        <w:rPr>
          <w:rFonts w:cs="Arial"/>
          <w:sz w:val="24"/>
          <w:szCs w:val="24"/>
          <w:lang w:eastAsia="pt-BR"/>
        </w:rPr>
        <w:t xml:space="preserve"> design</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17, 18, 19, 20, 21, e 22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elementos das orientações previstas nos “</w:t>
      </w:r>
      <w:proofErr w:type="spellStart"/>
      <w:r>
        <w:rPr>
          <w:rFonts w:cs="Arial"/>
          <w:sz w:val="24"/>
          <w:szCs w:val="24"/>
          <w:lang w:eastAsia="pt-BR"/>
        </w:rPr>
        <w:t>Guidelines</w:t>
      </w:r>
      <w:proofErr w:type="spellEnd"/>
      <w:r>
        <w:rPr>
          <w:rFonts w:cs="Arial"/>
          <w:sz w:val="24"/>
          <w:szCs w:val="24"/>
          <w:lang w:eastAsia="pt-BR"/>
        </w:rPr>
        <w:t xml:space="preserve"> </w:t>
      </w:r>
      <w:proofErr w:type="spellStart"/>
      <w:r>
        <w:rPr>
          <w:rFonts w:cs="Arial"/>
          <w:sz w:val="24"/>
          <w:szCs w:val="24"/>
          <w:lang w:eastAsia="pt-BR"/>
        </w:rPr>
        <w:t>on</w:t>
      </w:r>
      <w:proofErr w:type="spellEnd"/>
      <w:r>
        <w:rPr>
          <w:rFonts w:cs="Arial"/>
          <w:sz w:val="24"/>
          <w:szCs w:val="24"/>
          <w:lang w:eastAsia="pt-BR"/>
        </w:rPr>
        <w:t xml:space="preserve"> </w:t>
      </w:r>
      <w:proofErr w:type="spellStart"/>
      <w:r>
        <w:rPr>
          <w:rFonts w:cs="Arial"/>
          <w:sz w:val="24"/>
          <w:szCs w:val="24"/>
          <w:lang w:eastAsia="pt-BR"/>
        </w:rPr>
        <w:t>the</w:t>
      </w:r>
      <w:proofErr w:type="spellEnd"/>
      <w:r>
        <w:rPr>
          <w:rFonts w:cs="Arial"/>
          <w:sz w:val="24"/>
          <w:szCs w:val="24"/>
          <w:lang w:eastAsia="pt-BR"/>
        </w:rPr>
        <w:t xml:space="preserve"> </w:t>
      </w:r>
      <w:proofErr w:type="spellStart"/>
      <w:r>
        <w:rPr>
          <w:rFonts w:cs="Arial"/>
          <w:sz w:val="24"/>
          <w:szCs w:val="24"/>
          <w:lang w:eastAsia="pt-BR"/>
        </w:rPr>
        <w:t>right</w:t>
      </w:r>
      <w:proofErr w:type="spellEnd"/>
      <w:r>
        <w:rPr>
          <w:rFonts w:cs="Arial"/>
          <w:sz w:val="24"/>
          <w:szCs w:val="24"/>
          <w:lang w:eastAsia="pt-BR"/>
        </w:rPr>
        <w:t xml:space="preserve"> to data </w:t>
      </w:r>
      <w:proofErr w:type="spellStart"/>
      <w:r>
        <w:rPr>
          <w:rFonts w:cs="Arial"/>
          <w:sz w:val="24"/>
          <w:szCs w:val="24"/>
          <w:lang w:eastAsia="pt-BR"/>
        </w:rPr>
        <w:t>portability</w:t>
      </w:r>
      <w:proofErr w:type="spellEnd"/>
      <w:r>
        <w:rPr>
          <w:rFonts w:cs="Arial"/>
          <w:sz w:val="24"/>
          <w:szCs w:val="24"/>
          <w:lang w:eastAsia="pt-BR"/>
        </w:rPr>
        <w:t xml:space="preserve"> </w:t>
      </w:r>
      <w:proofErr w:type="spellStart"/>
      <w:r>
        <w:rPr>
          <w:rFonts w:cs="Arial"/>
          <w:sz w:val="24"/>
          <w:szCs w:val="24"/>
          <w:lang w:eastAsia="pt-BR"/>
        </w:rPr>
        <w:t>under</w:t>
      </w:r>
      <w:proofErr w:type="spellEnd"/>
      <w:r>
        <w:rPr>
          <w:rFonts w:cs="Arial"/>
          <w:sz w:val="24"/>
          <w:szCs w:val="24"/>
          <w:lang w:eastAsia="pt-BR"/>
        </w:rPr>
        <w:t xml:space="preserve"> </w:t>
      </w:r>
      <w:proofErr w:type="spellStart"/>
      <w:r>
        <w:rPr>
          <w:rFonts w:cs="Arial"/>
          <w:sz w:val="24"/>
          <w:szCs w:val="24"/>
          <w:lang w:eastAsia="pt-BR"/>
        </w:rPr>
        <w:t>Regulation</w:t>
      </w:r>
      <w:proofErr w:type="spellEnd"/>
      <w:r>
        <w:rPr>
          <w:rFonts w:cs="Arial"/>
          <w:sz w:val="24"/>
          <w:szCs w:val="24"/>
          <w:lang w:eastAsia="pt-BR"/>
        </w:rPr>
        <w:t xml:space="preserve"> 2016/679” do EDPB</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formas de estabelecer processos internos para receber e responder requisições de titulares de dados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 importância e as possíveis formas de confirmar a identidade do requisitante</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cuidados e formas de receber e responder solicitações de informações por autoridades policiais e do Poder </w:t>
      </w:r>
      <w:proofErr w:type="spellStart"/>
      <w:r>
        <w:rPr>
          <w:rFonts w:cs="Arial"/>
          <w:sz w:val="24"/>
          <w:szCs w:val="24"/>
          <w:lang w:eastAsia="pt-BR"/>
        </w:rPr>
        <w:t>Judiciári</w:t>
      </w:r>
      <w:proofErr w:type="spellEnd"/>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Segurança da Informação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xml:space="preserve">. </w:t>
      </w:r>
      <w:proofErr w:type="gramStart"/>
      <w:r>
        <w:rPr>
          <w:rFonts w:cs="Arial"/>
          <w:sz w:val="24"/>
          <w:szCs w:val="24"/>
          <w:lang w:eastAsia="pt-BR"/>
        </w:rPr>
        <w:t>46, 47 e 49</w:t>
      </w:r>
      <w:proofErr w:type="gramEnd"/>
      <w:r>
        <w:rPr>
          <w:rFonts w:cs="Arial"/>
          <w:sz w:val="24"/>
          <w:szCs w:val="24"/>
          <w:lang w:eastAsia="pt-BR"/>
        </w:rPr>
        <w:t xml:space="preserve">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lastRenderedPageBreak/>
        <w:t>Trazer os elementos que compõe um programa de segurança da informação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um overview da ISO 27001 e 27001</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 xml:space="preserve">Resposta </w:t>
      </w:r>
      <w:proofErr w:type="gramStart"/>
      <w:r>
        <w:rPr>
          <w:rFonts w:cs="Arial"/>
          <w:b/>
          <w:bCs/>
          <w:sz w:val="24"/>
          <w:szCs w:val="24"/>
          <w:lang w:eastAsia="pt-BR"/>
        </w:rPr>
        <w:t>à</w:t>
      </w:r>
      <w:proofErr w:type="gramEnd"/>
      <w:r>
        <w:rPr>
          <w:rFonts w:cs="Arial"/>
          <w:b/>
          <w:bCs/>
          <w:sz w:val="24"/>
          <w:szCs w:val="24"/>
          <w:lang w:eastAsia="pt-BR"/>
        </w:rPr>
        <w:t xml:space="preserve"> Incidentes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Abordar o art. 48 da LGPD – Trazer elementos do “</w:t>
      </w:r>
      <w:proofErr w:type="spellStart"/>
      <w:r>
        <w:rPr>
          <w:rFonts w:cs="Arial"/>
          <w:sz w:val="24"/>
          <w:szCs w:val="24"/>
          <w:lang w:eastAsia="pt-BR"/>
        </w:rPr>
        <w:t>Guidelines</w:t>
      </w:r>
      <w:proofErr w:type="spellEnd"/>
      <w:r>
        <w:rPr>
          <w:rFonts w:cs="Arial"/>
          <w:sz w:val="24"/>
          <w:szCs w:val="24"/>
          <w:lang w:eastAsia="pt-BR"/>
        </w:rPr>
        <w:t xml:space="preserve"> </w:t>
      </w:r>
      <w:proofErr w:type="spellStart"/>
      <w:r>
        <w:rPr>
          <w:rFonts w:cs="Arial"/>
          <w:sz w:val="24"/>
          <w:szCs w:val="24"/>
          <w:lang w:eastAsia="pt-BR"/>
        </w:rPr>
        <w:t>on</w:t>
      </w:r>
      <w:proofErr w:type="spellEnd"/>
      <w:r>
        <w:rPr>
          <w:rFonts w:cs="Arial"/>
          <w:sz w:val="24"/>
          <w:szCs w:val="24"/>
          <w:lang w:eastAsia="pt-BR"/>
        </w:rPr>
        <w:t xml:space="preserve"> data </w:t>
      </w:r>
      <w:proofErr w:type="spellStart"/>
      <w:r>
        <w:rPr>
          <w:rFonts w:cs="Arial"/>
          <w:sz w:val="24"/>
          <w:szCs w:val="24"/>
          <w:lang w:eastAsia="pt-BR"/>
        </w:rPr>
        <w:t>breach</w:t>
      </w:r>
      <w:proofErr w:type="spellEnd"/>
      <w:r>
        <w:rPr>
          <w:rFonts w:cs="Arial"/>
          <w:sz w:val="24"/>
          <w:szCs w:val="24"/>
          <w:lang w:eastAsia="pt-BR"/>
        </w:rPr>
        <w:t xml:space="preserve"> </w:t>
      </w:r>
      <w:proofErr w:type="spellStart"/>
      <w:r>
        <w:rPr>
          <w:rFonts w:cs="Arial"/>
          <w:sz w:val="24"/>
          <w:szCs w:val="24"/>
          <w:lang w:eastAsia="pt-BR"/>
        </w:rPr>
        <w:t>notification</w:t>
      </w:r>
      <w:proofErr w:type="spellEnd"/>
      <w:r>
        <w:rPr>
          <w:rFonts w:cs="Arial"/>
          <w:sz w:val="24"/>
          <w:szCs w:val="24"/>
          <w:lang w:eastAsia="pt-BR"/>
        </w:rPr>
        <w:t>” do EDPB</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casos de vazamento de dados no Brasil e como o MP, SENACOM e órgãos de defesa do consumidor têm avaliado estas situações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boas práticas para se relacionar com autoridades e órgãos de fiscalização em casos de vazamento de dados</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Compartilhamento de Dados e Gestão de Terceiros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Abordar os </w:t>
      </w:r>
      <w:proofErr w:type="spellStart"/>
      <w:r>
        <w:rPr>
          <w:rFonts w:cs="Arial"/>
          <w:sz w:val="24"/>
          <w:szCs w:val="24"/>
          <w:lang w:eastAsia="pt-BR"/>
        </w:rPr>
        <w:t>arts</w:t>
      </w:r>
      <w:proofErr w:type="spellEnd"/>
      <w:r>
        <w:rPr>
          <w:rFonts w:cs="Arial"/>
          <w:sz w:val="24"/>
          <w:szCs w:val="24"/>
          <w:lang w:eastAsia="pt-BR"/>
        </w:rPr>
        <w:t>. 7º, §5º, 11, §4º, 33, 34, 35 e 36 da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Conceituar o que é compartilhamento de dados com terceiros e transferência internacional de dados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Comparar os mecanismos de transferência previstos na LGPD e na GDPR</w:t>
      </w:r>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Conceitos básicos de tecnologia e ferramentas de coleta e tratamento de dados pessoais</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Lógica da computação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Estrutura de bancos de dados</w:t>
      </w:r>
    </w:p>
    <w:p w:rsidR="00DC0DCD" w:rsidRDefault="00DC0DCD" w:rsidP="00DC0DCD">
      <w:pPr>
        <w:numPr>
          <w:ilvl w:val="1"/>
          <w:numId w:val="10"/>
        </w:numPr>
        <w:suppressAutoHyphens w:val="0"/>
        <w:spacing w:before="150"/>
        <w:jc w:val="left"/>
        <w:textAlignment w:val="baseline"/>
        <w:rPr>
          <w:rFonts w:cs="Arial"/>
          <w:sz w:val="24"/>
          <w:szCs w:val="24"/>
          <w:lang w:eastAsia="pt-BR"/>
        </w:rPr>
      </w:pPr>
      <w:proofErr w:type="spellStart"/>
      <w:r>
        <w:rPr>
          <w:rFonts w:cs="Arial"/>
          <w:sz w:val="24"/>
          <w:szCs w:val="24"/>
          <w:lang w:eastAsia="pt-BR"/>
        </w:rPr>
        <w:t>Cookies</w:t>
      </w:r>
      <w:proofErr w:type="spellEnd"/>
      <w:r>
        <w:rPr>
          <w:rFonts w:cs="Arial"/>
          <w:sz w:val="24"/>
          <w:szCs w:val="24"/>
          <w:lang w:eastAsia="pt-BR"/>
        </w:rPr>
        <w:t xml:space="preserve"> e tecnologias de rastreamento e </w:t>
      </w:r>
      <w:proofErr w:type="spellStart"/>
      <w:r>
        <w:rPr>
          <w:rFonts w:cs="Arial"/>
          <w:sz w:val="24"/>
          <w:szCs w:val="24"/>
          <w:lang w:eastAsia="pt-BR"/>
        </w:rPr>
        <w:t>fingerprinting</w:t>
      </w:r>
      <w:proofErr w:type="spellEnd"/>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Computação em nuvem</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 xml:space="preserve">Reconhecimento Facial – </w:t>
      </w:r>
      <w:proofErr w:type="spellStart"/>
      <w:r>
        <w:rPr>
          <w:rFonts w:cs="Arial"/>
          <w:sz w:val="24"/>
          <w:szCs w:val="24"/>
          <w:lang w:eastAsia="pt-BR"/>
        </w:rPr>
        <w:t>Blockchain</w:t>
      </w:r>
      <w:proofErr w:type="spellEnd"/>
    </w:p>
    <w:p w:rsidR="00DC0DCD" w:rsidRDefault="00DC0DCD" w:rsidP="00DC0DCD">
      <w:pPr>
        <w:numPr>
          <w:ilvl w:val="0"/>
          <w:numId w:val="10"/>
        </w:numPr>
        <w:suppressAutoHyphens w:val="0"/>
        <w:spacing w:before="150"/>
        <w:jc w:val="left"/>
        <w:textAlignment w:val="baseline"/>
        <w:rPr>
          <w:rFonts w:cs="Arial"/>
          <w:sz w:val="24"/>
          <w:szCs w:val="24"/>
          <w:lang w:eastAsia="pt-BR"/>
        </w:rPr>
      </w:pPr>
      <w:r>
        <w:rPr>
          <w:rFonts w:cs="Arial"/>
          <w:b/>
          <w:bCs/>
          <w:sz w:val="24"/>
          <w:szCs w:val="24"/>
          <w:lang w:eastAsia="pt-BR"/>
        </w:rPr>
        <w:t>Problemáticas do cotidiano</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Trazer um overview sobre o escopo de aplicação do Marco Civil da Internet em dados pessoais e o aparente conflito com a LGPD</w:t>
      </w:r>
    </w:p>
    <w:p w:rsidR="00DC0DCD" w:rsidRDefault="00DC0DCD" w:rsidP="00DC0DCD">
      <w:pPr>
        <w:numPr>
          <w:ilvl w:val="1"/>
          <w:numId w:val="10"/>
        </w:numPr>
        <w:suppressAutoHyphens w:val="0"/>
        <w:spacing w:before="150"/>
        <w:jc w:val="left"/>
        <w:textAlignment w:val="baseline"/>
        <w:rPr>
          <w:rFonts w:cs="Arial"/>
          <w:sz w:val="24"/>
          <w:szCs w:val="24"/>
          <w:lang w:eastAsia="pt-BR"/>
        </w:rPr>
      </w:pPr>
      <w:r>
        <w:rPr>
          <w:rFonts w:cs="Arial"/>
          <w:sz w:val="24"/>
          <w:szCs w:val="24"/>
          <w:lang w:eastAsia="pt-BR"/>
        </w:rPr>
        <w:t>Pontuar a diferença entre uso ético de dados e conformidade com a LGPD</w:t>
      </w:r>
    </w:p>
    <w:p w:rsidR="002C448D" w:rsidRDefault="002C448D" w:rsidP="000D35C8">
      <w:pPr>
        <w:spacing w:before="120" w:line="360" w:lineRule="auto"/>
        <w:rPr>
          <w:rFonts w:cs="Arial"/>
          <w:b/>
          <w:sz w:val="23"/>
          <w:szCs w:val="23"/>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 xml:space="preserve">como valor global a importância </w:t>
      </w:r>
      <w:proofErr w:type="spellStart"/>
      <w:proofErr w:type="gramStart"/>
      <w:r w:rsidRPr="00C92DBA">
        <w:rPr>
          <w:rFonts w:cs="Arial"/>
          <w:sz w:val="23"/>
          <w:szCs w:val="23"/>
        </w:rPr>
        <w:t>de</w:t>
      </w:r>
      <w:r w:rsidR="005A7390" w:rsidRPr="005A7390">
        <w:rPr>
          <w:b/>
          <w:bCs/>
          <w:color w:val="000000"/>
          <w:sz w:val="24"/>
          <w:szCs w:val="24"/>
        </w:rPr>
        <w:t>R</w:t>
      </w:r>
      <w:proofErr w:type="spellEnd"/>
      <w:proofErr w:type="gramEnd"/>
      <w:r w:rsidR="005A7390" w:rsidRPr="005A7390">
        <w:rPr>
          <w:b/>
          <w:bCs/>
          <w:color w:val="000000"/>
          <w:sz w:val="24"/>
          <w:szCs w:val="24"/>
        </w:rPr>
        <w:t>$ 4.</w:t>
      </w:r>
      <w:r w:rsidR="002C448D">
        <w:rPr>
          <w:b/>
          <w:bCs/>
          <w:color w:val="000000"/>
          <w:sz w:val="24"/>
          <w:szCs w:val="24"/>
        </w:rPr>
        <w:t>275</w:t>
      </w:r>
      <w:r w:rsidR="005A7390" w:rsidRPr="005A7390">
        <w:rPr>
          <w:b/>
          <w:bCs/>
          <w:color w:val="000000"/>
          <w:sz w:val="24"/>
          <w:szCs w:val="24"/>
        </w:rPr>
        <w:t xml:space="preserve">,00 (quatro mil </w:t>
      </w:r>
      <w:r w:rsidR="002C448D">
        <w:rPr>
          <w:b/>
          <w:bCs/>
          <w:color w:val="000000"/>
          <w:sz w:val="24"/>
          <w:szCs w:val="24"/>
        </w:rPr>
        <w:t>duzentos e setenta e cinco</w:t>
      </w:r>
      <w:r w:rsidR="005A7390" w:rsidRPr="005A7390">
        <w:rPr>
          <w:b/>
          <w:bCs/>
          <w:color w:val="000000"/>
          <w:sz w:val="24"/>
          <w:szCs w:val="24"/>
        </w:rPr>
        <w:t xml:space="preserve"> reais)</w:t>
      </w:r>
      <w:r w:rsidR="005C1521" w:rsidRPr="005A7390">
        <w:rPr>
          <w:rFonts w:cs="Arial"/>
          <w:b/>
          <w:bCs/>
          <w:sz w:val="23"/>
          <w:szCs w:val="23"/>
        </w:rPr>
        <w:t>,</w:t>
      </w:r>
      <w:r w:rsidRPr="00C92DBA">
        <w:rPr>
          <w:rFonts w:cs="Arial"/>
          <w:sz w:val="23"/>
          <w:szCs w:val="23"/>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lastRenderedPageBreak/>
        <w:t>2.1.1</w:t>
      </w:r>
      <w:r w:rsidR="007322DA">
        <w:rPr>
          <w:rFonts w:cs="Arial"/>
          <w:sz w:val="23"/>
          <w:szCs w:val="23"/>
        </w:rPr>
        <w:t>.</w:t>
      </w:r>
      <w:r w:rsidRPr="00E61E11">
        <w:rPr>
          <w:rFonts w:cs="Arial"/>
          <w:sz w:val="23"/>
          <w:szCs w:val="23"/>
        </w:rPr>
        <w:t xml:space="preserve"> Caso o vencimento ocorra no sábado, domingo, feriado ou ponto facultativo para a </w:t>
      </w:r>
      <w:proofErr w:type="spellStart"/>
      <w:r w:rsidRPr="00E61E11">
        <w:rPr>
          <w:rFonts w:cs="Arial"/>
          <w:sz w:val="23"/>
          <w:szCs w:val="23"/>
        </w:rPr>
        <w:t>Cesama</w:t>
      </w:r>
      <w:proofErr w:type="spellEnd"/>
      <w:r w:rsidRPr="00E61E11">
        <w:rPr>
          <w:rFonts w:cs="Arial"/>
          <w:sz w:val="23"/>
          <w:szCs w:val="23"/>
        </w:rPr>
        <w:t xml:space="preserve">, o pagamento será realizado no primeiro dia útil </w:t>
      </w:r>
      <w:proofErr w:type="spellStart"/>
      <w:r w:rsidRPr="00E61E11">
        <w:rPr>
          <w:rFonts w:cs="Arial"/>
          <w:sz w:val="23"/>
          <w:szCs w:val="23"/>
        </w:rPr>
        <w:t>subsequente</w:t>
      </w:r>
      <w:proofErr w:type="spellEnd"/>
      <w:r w:rsidRPr="00E61E11">
        <w:rPr>
          <w:rFonts w:cs="Arial"/>
          <w:sz w:val="23"/>
          <w:szCs w:val="23"/>
        </w:rPr>
        <w:t xml:space="preserv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w:t>
      </w:r>
      <w:proofErr w:type="spellStart"/>
      <w:r w:rsidRPr="00E61E11">
        <w:rPr>
          <w:rFonts w:cs="Arial"/>
          <w:sz w:val="23"/>
          <w:szCs w:val="23"/>
        </w:rPr>
        <w:t>NF-</w:t>
      </w:r>
      <w:r w:rsidR="00715438" w:rsidRPr="00E61E11">
        <w:rPr>
          <w:rFonts w:cs="Arial"/>
          <w:sz w:val="23"/>
          <w:szCs w:val="23"/>
        </w:rPr>
        <w:t>e</w:t>
      </w:r>
      <w:proofErr w:type="spellEnd"/>
      <w:r w:rsidR="00715438" w:rsidRPr="00E61E11">
        <w:rPr>
          <w:rFonts w:cs="Arial"/>
          <w:sz w:val="23"/>
          <w:szCs w:val="23"/>
        </w:rPr>
        <w:t xml:space="preserve"> </w:t>
      </w:r>
      <w:r w:rsidRPr="00E61E11">
        <w:rPr>
          <w:rFonts w:cs="Arial"/>
          <w:sz w:val="23"/>
          <w:szCs w:val="23"/>
        </w:rPr>
        <w:t xml:space="preserve">– deverão ser enviadas para o e-mail </w:t>
      </w:r>
      <w:hyperlink r:id="rId9" w:history="1">
        <w:r w:rsidR="005A7390" w:rsidRPr="00FD2736">
          <w:rPr>
            <w:rStyle w:val="Hyperlink"/>
            <w:rFonts w:cs="Arial"/>
            <w:sz w:val="23"/>
            <w:szCs w:val="23"/>
          </w:rPr>
          <w:t>treinamento@cesama.com.br</w:t>
        </w:r>
      </w:hyperlink>
      <w:r w:rsidRPr="00E61E11">
        <w:rPr>
          <w:rFonts w:cs="Arial"/>
          <w:sz w:val="23"/>
          <w:szCs w:val="23"/>
        </w:rPr>
        <w:t xml:space="preserve"> com cópia para </w:t>
      </w:r>
      <w:hyperlink r:id="rId10"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Pr="00E61E11">
        <w:rPr>
          <w:rFonts w:cs="Arial"/>
          <w:sz w:val="23"/>
          <w:szCs w:val="23"/>
        </w:rPr>
        <w:t>adjudicatária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w:t>
      </w:r>
      <w:proofErr w:type="gramStart"/>
      <w:r w:rsidRPr="00E61E11">
        <w:rPr>
          <w:color w:val="auto"/>
          <w:sz w:val="23"/>
          <w:szCs w:val="23"/>
        </w:rPr>
        <w:t>as</w:t>
      </w:r>
      <w:proofErr w:type="gramEnd"/>
      <w:r w:rsidRPr="00E61E11">
        <w:rPr>
          <w:color w:val="auto"/>
          <w:sz w:val="23"/>
          <w:szCs w:val="23"/>
        </w:rPr>
        <w:t xml:space="preserve">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lastRenderedPageBreak/>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w:t>
      </w:r>
      <w:proofErr w:type="spellStart"/>
      <w:r w:rsidRPr="00E61E11">
        <w:rPr>
          <w:sz w:val="23"/>
          <w:szCs w:val="23"/>
        </w:rPr>
        <w:t>Cesama</w:t>
      </w:r>
      <w:proofErr w:type="spellEnd"/>
      <w:r w:rsidRPr="00E61E11">
        <w:rPr>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E61E11">
        <w:rPr>
          <w:sz w:val="23"/>
          <w:szCs w:val="23"/>
        </w:rPr>
        <w:t>Cesama</w:t>
      </w:r>
      <w:proofErr w:type="spellEnd"/>
      <w:r w:rsidRPr="00E61E11">
        <w:rPr>
          <w:sz w:val="23"/>
          <w:szCs w:val="23"/>
        </w:rPr>
        <w:t>.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proofErr w:type="spellStart"/>
      <w:r w:rsidR="00307FEC" w:rsidRPr="00E61E11">
        <w:rPr>
          <w:rFonts w:eastAsia="Arial Unicode MS" w:cs="Arial"/>
          <w:b/>
          <w:bCs/>
          <w:sz w:val="23"/>
          <w:szCs w:val="23"/>
        </w:rPr>
        <w:t>vigênciaé</w:t>
      </w:r>
      <w:r w:rsidR="00583213" w:rsidRPr="00E61E11">
        <w:rPr>
          <w:rFonts w:eastAsia="Arial Unicode MS" w:cs="Arial"/>
          <w:b/>
          <w:bCs/>
          <w:sz w:val="23"/>
          <w:szCs w:val="23"/>
        </w:rPr>
        <w:t>de</w:t>
      </w:r>
      <w:proofErr w:type="spellEnd"/>
      <w:r w:rsidR="00583213" w:rsidRPr="00E61E11">
        <w:rPr>
          <w:rFonts w:eastAsia="Arial Unicode MS" w:cs="Arial"/>
          <w:b/>
          <w:bCs/>
          <w:sz w:val="23"/>
          <w:szCs w:val="23"/>
        </w:rPr>
        <w:t xml:space="preserve"> </w:t>
      </w:r>
      <w:r w:rsidR="005A7390">
        <w:rPr>
          <w:rFonts w:eastAsia="Arial Unicode MS" w:cs="Arial"/>
          <w:b/>
          <w:bCs/>
          <w:sz w:val="23"/>
          <w:szCs w:val="23"/>
        </w:rPr>
        <w:t>120</w:t>
      </w:r>
      <w:r w:rsidR="00583213" w:rsidRPr="00E61E11">
        <w:rPr>
          <w:rFonts w:eastAsia="Arial Unicode MS" w:cs="Arial"/>
          <w:b/>
          <w:bCs/>
          <w:sz w:val="23"/>
          <w:szCs w:val="23"/>
        </w:rPr>
        <w:t xml:space="preserve"> (</w:t>
      </w:r>
      <w:r w:rsidR="005A7390">
        <w:rPr>
          <w:rFonts w:eastAsia="Arial Unicode MS" w:cs="Arial"/>
          <w:b/>
          <w:bCs/>
          <w:sz w:val="23"/>
          <w:szCs w:val="23"/>
        </w:rPr>
        <w:t>cento e vinte</w:t>
      </w:r>
      <w:r w:rsidR="00583213" w:rsidRPr="00E61E11">
        <w:rPr>
          <w:rFonts w:eastAsia="Arial Unicode MS" w:cs="Arial"/>
          <w:b/>
          <w:bCs/>
          <w:sz w:val="23"/>
          <w:szCs w:val="23"/>
        </w:rPr>
        <w:t xml:space="preserve">) </w:t>
      </w:r>
      <w:proofErr w:type="spellStart"/>
      <w:r w:rsidR="00827226">
        <w:rPr>
          <w:rFonts w:eastAsia="Arial Unicode MS" w:cs="Arial"/>
          <w:b/>
          <w:bCs/>
          <w:sz w:val="23"/>
          <w:szCs w:val="23"/>
        </w:rPr>
        <w:t>dias</w:t>
      </w:r>
      <w:r w:rsidR="00AC548D" w:rsidRPr="00E61E11">
        <w:rPr>
          <w:rFonts w:eastAsia="Arial Unicode MS" w:cs="Arial"/>
          <w:bCs/>
          <w:sz w:val="23"/>
          <w:szCs w:val="23"/>
        </w:rPr>
        <w:t>contados</w:t>
      </w:r>
      <w:proofErr w:type="spellEnd"/>
      <w:r w:rsidR="00AC548D" w:rsidRPr="00E61E11">
        <w:rPr>
          <w:rFonts w:eastAsia="Arial Unicode MS" w:cs="Arial"/>
          <w:bCs/>
          <w:sz w:val="23"/>
          <w:szCs w:val="23"/>
        </w:rPr>
        <w:t xml:space="preserve">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DF7E72">
        <w:rPr>
          <w:rFonts w:eastAsia="Arial Unicode MS" w:cs="Arial"/>
          <w:bCs/>
          <w:sz w:val="23"/>
          <w:szCs w:val="23"/>
        </w:rPr>
        <w:t>01/02/2022 a 05/04/2022, conforme cronograma</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global.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D7EF2">
        <w:rPr>
          <w:rFonts w:eastAsia="Arial Unicode MS" w:cs="Arial"/>
          <w:bCs/>
          <w:sz w:val="23"/>
          <w:szCs w:val="23"/>
        </w:rPr>
        <w:t xml:space="preserve"> </w:t>
      </w:r>
      <w:r w:rsidR="00DE2C06" w:rsidRPr="00E61E11">
        <w:rPr>
          <w:rFonts w:eastAsia="Arial Unicode MS" w:cs="Arial"/>
          <w:bCs/>
          <w:sz w:val="23"/>
          <w:szCs w:val="23"/>
        </w:rPr>
        <w:t>além</w:t>
      </w:r>
      <w:r w:rsidR="00DD7EF2">
        <w:rPr>
          <w:rFonts w:eastAsia="Arial Unicode MS" w:cs="Arial"/>
          <w:bCs/>
          <w:sz w:val="23"/>
          <w:szCs w:val="23"/>
        </w:rPr>
        <w:t xml:space="preserve"> </w:t>
      </w:r>
      <w:r w:rsidR="00DE2C06" w:rsidRPr="00E61E11">
        <w:rPr>
          <w:rFonts w:eastAsia="Arial Unicode MS" w:cs="Arial"/>
          <w:bCs/>
          <w:sz w:val="23"/>
          <w:szCs w:val="23"/>
        </w:rPr>
        <w:t>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 xml:space="preserve">3% (três por cento) sobre o valor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5A7390">
        <w:rPr>
          <w:rFonts w:eastAsia="Arial Unicode MS" w:cs="Arial"/>
          <w:bCs/>
          <w:sz w:val="23"/>
          <w:szCs w:val="23"/>
        </w:rPr>
        <w:t>1</w:t>
      </w:r>
      <w:r w:rsidR="00F34341">
        <w:rPr>
          <w:rFonts w:eastAsia="Arial Unicode MS" w:cs="Arial"/>
          <w:bCs/>
          <w:sz w:val="23"/>
          <w:szCs w:val="23"/>
        </w:rPr>
        <w:t xml:space="preserve">. </w:t>
      </w:r>
      <w:r w:rsidR="005A7390">
        <w:rPr>
          <w:rFonts w:cs="Arial"/>
          <w:sz w:val="24"/>
          <w:szCs w:val="24"/>
        </w:rPr>
        <w:t>Efetuar o pagamento devido à Contratada pela execução dos serviços prestados, nos termos e prazos contratualmente previstos, após terem sido devidamente atestados pela Contratante, de acordo com a norma de contratação</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5A7390">
        <w:rPr>
          <w:rFonts w:eastAsia="Arial Unicode MS" w:cs="Arial"/>
          <w:bCs/>
          <w:sz w:val="23"/>
          <w:szCs w:val="23"/>
        </w:rPr>
        <w:t>2</w:t>
      </w:r>
      <w:r w:rsidR="00F34341">
        <w:rPr>
          <w:rFonts w:eastAsia="Arial Unicode MS" w:cs="Arial"/>
          <w:bCs/>
          <w:sz w:val="23"/>
          <w:szCs w:val="23"/>
        </w:rPr>
        <w:t xml:space="preserve">. </w:t>
      </w:r>
      <w:r w:rsidR="00827226" w:rsidRPr="00827226">
        <w:rPr>
          <w:rFonts w:eastAsia="Arial Unicode MS" w:cs="Arial"/>
          <w:bCs/>
          <w:sz w:val="23"/>
          <w:szCs w:val="23"/>
        </w:rPr>
        <w:t>Rejeitar todo e qualquer material ou serviço 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5A7390">
        <w:rPr>
          <w:rFonts w:eastAsia="Arial Unicode MS" w:cs="Arial"/>
          <w:bCs/>
          <w:sz w:val="23"/>
          <w:szCs w:val="23"/>
        </w:rPr>
        <w:t>3</w:t>
      </w:r>
      <w:r w:rsidRPr="00E61E11">
        <w:rPr>
          <w:rFonts w:eastAsia="Arial Unicode MS" w:cs="Arial"/>
          <w:bCs/>
          <w:sz w:val="23"/>
          <w:szCs w:val="23"/>
        </w:rPr>
        <w:t xml:space="preserve">. </w:t>
      </w:r>
      <w:r w:rsidR="00827226" w:rsidRPr="00827226">
        <w:rPr>
          <w:rFonts w:eastAsia="Arial Unicode MS" w:cs="Arial"/>
          <w:bCs/>
          <w:sz w:val="23"/>
          <w:szCs w:val="23"/>
        </w:rPr>
        <w:t>Efetuar o recebimento provisório e o recebimento definitivo do objeto</w:t>
      </w:r>
      <w:r w:rsidRPr="00827226">
        <w:rPr>
          <w:rFonts w:eastAsia="Arial Unicode MS" w:cs="Arial"/>
          <w:bCs/>
          <w:sz w:val="23"/>
          <w:szCs w:val="23"/>
        </w:rPr>
        <w:t>.</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83630B" w:rsidRPr="00E863D4" w:rsidRDefault="0083630B" w:rsidP="00A763BF">
      <w:pPr>
        <w:numPr>
          <w:ilvl w:val="0"/>
          <w:numId w:val="1"/>
        </w:numPr>
        <w:tabs>
          <w:tab w:val="left" w:pos="567"/>
        </w:tabs>
        <w:spacing w:before="120" w:line="360" w:lineRule="auto"/>
        <w:rPr>
          <w:rFonts w:eastAsia="Arial Unicode MS" w:cs="Arial"/>
          <w:bCs/>
          <w:sz w:val="23"/>
          <w:szCs w:val="23"/>
        </w:rPr>
      </w:pPr>
      <w:proofErr w:type="gramStart"/>
      <w:r w:rsidRPr="00F90DFB">
        <w:rPr>
          <w:rFonts w:eastAsia="Arial Unicode MS" w:cs="Arial"/>
          <w:bCs/>
          <w:sz w:val="23"/>
          <w:szCs w:val="23"/>
        </w:rPr>
        <w:t>5.2.1.</w:t>
      </w:r>
      <w:proofErr w:type="gramEnd"/>
      <w:r w:rsidR="005A7390">
        <w:rPr>
          <w:rFonts w:cs="Arial"/>
          <w:sz w:val="24"/>
          <w:szCs w:val="24"/>
        </w:rPr>
        <w:t>A Contratada deverá estar ciente de que quaisquer entendimentos com o Contratante serão feitos por escrito, não sendo consideradas quaisquer alegações com fundamento em ordens ou declarações verbais</w:t>
      </w:r>
      <w:r w:rsidRPr="00F90DFB">
        <w:rPr>
          <w:rFonts w:eastAsia="Arial Unicode MS" w:cs="Arial"/>
          <w:bCs/>
          <w:sz w:val="23"/>
          <w:szCs w:val="23"/>
        </w:rPr>
        <w:t>.</w:t>
      </w:r>
    </w:p>
    <w:p w:rsidR="000B5658" w:rsidRPr="00F90DFB" w:rsidRDefault="007402D0" w:rsidP="007402D0">
      <w:pPr>
        <w:numPr>
          <w:ilvl w:val="0"/>
          <w:numId w:val="1"/>
        </w:numPr>
        <w:tabs>
          <w:tab w:val="left" w:pos="567"/>
        </w:tabs>
        <w:spacing w:before="120" w:line="360" w:lineRule="auto"/>
        <w:rPr>
          <w:rFonts w:eastAsia="Arial Unicode MS" w:cs="Arial"/>
          <w:bCs/>
          <w:sz w:val="23"/>
          <w:szCs w:val="23"/>
        </w:rPr>
      </w:pPr>
      <w:r w:rsidRPr="00E863D4">
        <w:rPr>
          <w:rFonts w:eastAsia="Arial Unicode MS" w:cs="Arial"/>
          <w:bCs/>
          <w:sz w:val="23"/>
          <w:szCs w:val="23"/>
        </w:rPr>
        <w:t>5</w:t>
      </w:r>
      <w:r w:rsidRPr="00F90DFB">
        <w:rPr>
          <w:rFonts w:eastAsia="Arial Unicode MS" w:cs="Arial"/>
          <w:bCs/>
          <w:sz w:val="23"/>
          <w:szCs w:val="23"/>
        </w:rPr>
        <w:t>.2.</w:t>
      </w:r>
      <w:r w:rsidR="0083630B" w:rsidRPr="00F90DFB">
        <w:rPr>
          <w:rFonts w:eastAsia="Arial Unicode MS" w:cs="Arial"/>
          <w:bCs/>
          <w:sz w:val="23"/>
          <w:szCs w:val="23"/>
        </w:rPr>
        <w:t>2</w:t>
      </w:r>
      <w:r w:rsidRPr="00F90DFB">
        <w:rPr>
          <w:rFonts w:eastAsia="Arial Unicode MS" w:cs="Arial"/>
          <w:bCs/>
          <w:sz w:val="23"/>
          <w:szCs w:val="23"/>
        </w:rPr>
        <w:t xml:space="preserve">. </w:t>
      </w:r>
      <w:r w:rsidR="005A7390">
        <w:rPr>
          <w:rFonts w:cs="Arial"/>
          <w:sz w:val="24"/>
          <w:szCs w:val="24"/>
        </w:rPr>
        <w:t xml:space="preserve">A Contratada prestará todos os esclarecimentos que forem solicitados pela Contratante, sempre por escrito, cujas reclamações atinentes a quaisquer aspectos da execução contratual se </w:t>
      </w:r>
      <w:proofErr w:type="gramStart"/>
      <w:r w:rsidR="005A7390">
        <w:rPr>
          <w:rFonts w:cs="Arial"/>
          <w:sz w:val="24"/>
          <w:szCs w:val="24"/>
        </w:rPr>
        <w:t>obriga</w:t>
      </w:r>
      <w:proofErr w:type="gramEnd"/>
      <w:r w:rsidR="005A7390">
        <w:rPr>
          <w:rFonts w:cs="Arial"/>
          <w:sz w:val="24"/>
          <w:szCs w:val="24"/>
        </w:rPr>
        <w:t xml:space="preserve"> prontamente a atender</w:t>
      </w:r>
      <w:r w:rsidR="000B5658" w:rsidRPr="00F90DFB">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434122">
        <w:rPr>
          <w:rFonts w:eastAsia="Arial Unicode MS" w:cs="Arial"/>
          <w:bCs/>
          <w:sz w:val="23"/>
          <w:szCs w:val="23"/>
        </w:rPr>
        <w:t>3</w:t>
      </w:r>
      <w:r w:rsidRPr="007402D0">
        <w:rPr>
          <w:rFonts w:eastAsia="Arial Unicode MS" w:cs="Arial"/>
          <w:bCs/>
          <w:sz w:val="23"/>
          <w:szCs w:val="23"/>
        </w:rPr>
        <w:t>.</w:t>
      </w:r>
      <w:proofErr w:type="gramEnd"/>
      <w:r w:rsidR="005A7390">
        <w:rPr>
          <w:rFonts w:cs="Arial"/>
          <w:sz w:val="24"/>
          <w:szCs w:val="24"/>
        </w:rPr>
        <w:t>A Contratada deverá facilitar as ações do Fiscal, fornecendo informações ou promovendo acesso à documentação dos serviços em execução, atendendo prontamente às observações e exigências por eles apresentadas</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4</w:t>
      </w:r>
      <w:r w:rsidRPr="007402D0">
        <w:rPr>
          <w:rFonts w:eastAsia="Arial Unicode MS" w:cs="Arial"/>
          <w:bCs/>
          <w:sz w:val="23"/>
          <w:szCs w:val="23"/>
        </w:rPr>
        <w:t xml:space="preserve">. </w:t>
      </w:r>
      <w:r w:rsidR="005A7390">
        <w:rPr>
          <w:rFonts w:cs="Arial"/>
          <w:sz w:val="24"/>
          <w:szCs w:val="24"/>
        </w:rPr>
        <w:t xml:space="preserve">A Contratada se responsabilizará pela idoneidade e pelo comportamento de seus profissionais, prepostos ou subordinados, e, ainda, por quaisquer prejuízos que sejam causados à </w:t>
      </w:r>
      <w:proofErr w:type="spellStart"/>
      <w:r w:rsidR="005A7390">
        <w:rPr>
          <w:rFonts w:cs="Arial"/>
          <w:sz w:val="24"/>
          <w:szCs w:val="24"/>
        </w:rPr>
        <w:t>Cesama</w:t>
      </w:r>
      <w:proofErr w:type="spellEnd"/>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5</w:t>
      </w:r>
      <w:r w:rsidR="005A7390">
        <w:rPr>
          <w:rFonts w:cs="Arial"/>
          <w:sz w:val="24"/>
          <w:szCs w:val="24"/>
        </w:rPr>
        <w:t xml:space="preserve">A Contratada se responsabilizará pela permanente manutenção de validade da documentação: Jurídica, Fiscal, Técnica e Econômico-Financeira da empresa assim </w:t>
      </w:r>
      <w:r w:rsidR="005A7390">
        <w:rPr>
          <w:rFonts w:cs="Arial"/>
          <w:sz w:val="24"/>
          <w:szCs w:val="24"/>
        </w:rPr>
        <w:lastRenderedPageBreak/>
        <w:t>como pela atualização da formação técnica de seus profissionais</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6</w:t>
      </w:r>
      <w:r w:rsidR="0083630B">
        <w:rPr>
          <w:rFonts w:eastAsia="Arial Unicode MS" w:cs="Arial"/>
          <w:bCs/>
          <w:sz w:val="23"/>
          <w:szCs w:val="23"/>
        </w:rPr>
        <w:t xml:space="preserve">. </w:t>
      </w:r>
      <w:r w:rsidR="005A7390">
        <w:rPr>
          <w:rFonts w:cs="Arial"/>
          <w:sz w:val="24"/>
          <w:szCs w:val="24"/>
        </w:rPr>
        <w:t>À Contratada serão vedados, sob pena de rescisão e aplicação de qualquer outra penalidade cabível, a divulgação e o fornecimento de dados e informações referentes à prestação de serviços objeto do contrato</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7</w:t>
      </w:r>
      <w:r w:rsidR="0083630B">
        <w:rPr>
          <w:rFonts w:eastAsia="Arial Unicode MS" w:cs="Arial"/>
          <w:bCs/>
          <w:sz w:val="23"/>
          <w:szCs w:val="23"/>
        </w:rPr>
        <w:t xml:space="preserve">. </w:t>
      </w:r>
      <w:r w:rsidR="005A7390">
        <w:rPr>
          <w:rFonts w:cs="Arial"/>
          <w:sz w:val="24"/>
          <w:szCs w:val="24"/>
        </w:rPr>
        <w:t xml:space="preserve">A Contratada preservará a </w:t>
      </w:r>
      <w:proofErr w:type="spellStart"/>
      <w:r w:rsidR="005A7390">
        <w:rPr>
          <w:rFonts w:cs="Arial"/>
          <w:sz w:val="24"/>
          <w:szCs w:val="24"/>
        </w:rPr>
        <w:t>Cesama</w:t>
      </w:r>
      <w:proofErr w:type="spellEnd"/>
      <w:r w:rsidR="005A7390">
        <w:rPr>
          <w:rFonts w:cs="Arial"/>
          <w:sz w:val="24"/>
          <w:szCs w:val="24"/>
        </w:rPr>
        <w:t>, mantendo-a salvo de quaisquer demandas, reivindicações, queixas e representações de qualquer natureza, decorrentes de sua ação</w:t>
      </w:r>
      <w:r w:rsidR="000B5658" w:rsidRPr="007402D0">
        <w:rPr>
          <w:rFonts w:eastAsia="Arial Unicode MS" w:cs="Arial"/>
          <w:bCs/>
          <w:sz w:val="23"/>
          <w:szCs w:val="23"/>
        </w:rPr>
        <w:t>.</w:t>
      </w:r>
    </w:p>
    <w:p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8</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7402D0"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434122">
        <w:rPr>
          <w:rFonts w:eastAsia="Arial Unicode MS" w:cs="Arial"/>
          <w:bCs/>
          <w:sz w:val="23"/>
          <w:szCs w:val="23"/>
        </w:rPr>
        <w:t>9</w:t>
      </w:r>
      <w:r w:rsidR="00E43E97" w:rsidRPr="007402D0">
        <w:rPr>
          <w:rFonts w:eastAsia="Arial Unicode MS" w:cs="Arial"/>
          <w:bCs/>
          <w:sz w:val="23"/>
          <w:szCs w:val="23"/>
        </w:rPr>
        <w:t>.</w:t>
      </w:r>
      <w:proofErr w:type="gramEnd"/>
      <w:r w:rsidR="005A7390">
        <w:rPr>
          <w:rFonts w:cs="Arial"/>
          <w:sz w:val="24"/>
          <w:szCs w:val="24"/>
        </w:rPr>
        <w:t>São de exclusiva responsabilidade da Contratada todas as despesas com custos diretos e indiretos requeridos para a execução dos serviços objeto do contrato</w:t>
      </w:r>
      <w:r w:rsidRPr="007402D0">
        <w:rPr>
          <w:rFonts w:eastAsia="Arial Unicode MS" w:cs="Arial"/>
          <w:bCs/>
          <w:sz w:val="23"/>
          <w:szCs w:val="23"/>
        </w:rPr>
        <w:t>.</w:t>
      </w:r>
    </w:p>
    <w:p w:rsidR="00C55636"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7402D0" w:rsidRPr="007402D0">
        <w:rPr>
          <w:rFonts w:eastAsia="Arial Unicode MS" w:cs="Arial"/>
          <w:bCs/>
          <w:sz w:val="23"/>
          <w:szCs w:val="23"/>
        </w:rPr>
        <w:t>1</w:t>
      </w:r>
      <w:r w:rsidR="00434122">
        <w:rPr>
          <w:rFonts w:eastAsia="Arial Unicode MS" w:cs="Arial"/>
          <w:bCs/>
          <w:sz w:val="23"/>
          <w:szCs w:val="23"/>
        </w:rPr>
        <w:t>0</w:t>
      </w:r>
      <w:r w:rsidR="00E43E97" w:rsidRPr="007402D0">
        <w:rPr>
          <w:rFonts w:eastAsia="Arial Unicode MS" w:cs="Arial"/>
          <w:bCs/>
          <w:sz w:val="23"/>
          <w:szCs w:val="23"/>
        </w:rPr>
        <w:t>.</w:t>
      </w:r>
      <w:proofErr w:type="gramEnd"/>
      <w:r w:rsidR="005A7390">
        <w:rPr>
          <w:rFonts w:cs="Arial"/>
          <w:sz w:val="24"/>
          <w:szCs w:val="24"/>
        </w:rPr>
        <w:t xml:space="preserve">A Contratada deverá executar serviços com alto padrão de qualidade, de modo a atender as exigências da </w:t>
      </w:r>
      <w:proofErr w:type="spellStart"/>
      <w:r w:rsidR="005A7390">
        <w:rPr>
          <w:rFonts w:cs="Arial"/>
          <w:sz w:val="24"/>
          <w:szCs w:val="24"/>
        </w:rPr>
        <w:t>Cesama</w:t>
      </w:r>
      <w:proofErr w:type="spellEnd"/>
      <w:r w:rsidR="005A7390">
        <w:rPr>
          <w:rFonts w:cs="Arial"/>
          <w:sz w:val="24"/>
          <w:szCs w:val="24"/>
        </w:rPr>
        <w:t>, utilizando profissionais especializados, cabendo-lhe total e exclusiva responsabilidade pelo integral atendimento de toda legislação que rege a execução deste contrato, com ênfase na constitucional, tributária, civil, previdenciária e trabalhista</w:t>
      </w:r>
      <w:r w:rsidRPr="007402D0">
        <w:rPr>
          <w:rFonts w:eastAsia="Arial Unicode MS" w:cs="Arial"/>
          <w:bCs/>
          <w:sz w:val="23"/>
          <w:szCs w:val="23"/>
        </w:rPr>
        <w:t>.</w:t>
      </w:r>
    </w:p>
    <w:p w:rsidR="005A7390" w:rsidRDefault="005A7390"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DF7E72" w:rsidRDefault="00DF7E72"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 xml:space="preserve">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virtude da suspensão da execução do Contrato, por ordem escrita do CESAMA, por prazo superior a </w:t>
      </w:r>
      <w:r w:rsidR="00DF7E72">
        <w:rPr>
          <w:rFonts w:eastAsia="Arial Unicode MS" w:cs="Arial"/>
          <w:bCs/>
          <w:color w:val="FF0000"/>
          <w:sz w:val="23"/>
          <w:szCs w:val="23"/>
        </w:rPr>
        <w:t>20</w:t>
      </w:r>
      <w:r w:rsidRPr="00E61E11">
        <w:rPr>
          <w:rFonts w:eastAsia="Arial Unicode MS" w:cs="Arial"/>
          <w:bCs/>
          <w:color w:val="FF0000"/>
          <w:sz w:val="23"/>
          <w:szCs w:val="23"/>
        </w:rPr>
        <w:t xml:space="preserve"> (</w:t>
      </w:r>
      <w:r w:rsidR="00DF7E72">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IV.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 </w:t>
      </w:r>
      <w:proofErr w:type="gramStart"/>
      <w:r w:rsidRPr="00E61E11">
        <w:rPr>
          <w:rFonts w:eastAsia="Arial Unicode MS" w:cs="Arial"/>
          <w:bCs/>
          <w:sz w:val="23"/>
          <w:szCs w:val="23"/>
        </w:rPr>
        <w:t>caso</w:t>
      </w:r>
      <w:proofErr w:type="gramEnd"/>
      <w:r w:rsidRPr="00E61E11">
        <w:rPr>
          <w:rFonts w:eastAsia="Arial Unicode MS" w:cs="Arial"/>
          <w:bCs/>
          <w:sz w:val="23"/>
          <w:szCs w:val="23"/>
        </w:rPr>
        <w:t xml:space="preserve">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IX.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2C7234">
        <w:rPr>
          <w:rFonts w:eastAsia="Arial Unicode MS" w:cs="Arial"/>
          <w:bCs/>
          <w:color w:val="FF0000"/>
          <w:sz w:val="23"/>
          <w:szCs w:val="23"/>
        </w:rPr>
        <w:t>10</w:t>
      </w:r>
      <w:r w:rsidRPr="00E61E11">
        <w:rPr>
          <w:rFonts w:eastAsia="Arial Unicode MS" w:cs="Arial"/>
          <w:bCs/>
          <w:color w:val="FF0000"/>
          <w:sz w:val="23"/>
          <w:szCs w:val="23"/>
        </w:rPr>
        <w:t xml:space="preserve"> (</w:t>
      </w:r>
      <w:r w:rsidR="002C7234">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lastRenderedPageBreak/>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spellStart"/>
      <w:proofErr w:type="gramEnd"/>
      <w:r w:rsidR="00F07DCC" w:rsidRPr="00E61E11">
        <w:rPr>
          <w:rFonts w:cs="Arial"/>
          <w:sz w:val="23"/>
          <w:szCs w:val="23"/>
        </w:rPr>
        <w:t>a</w:t>
      </w:r>
      <w:r w:rsidR="0098245B" w:rsidRPr="00E61E11">
        <w:rPr>
          <w:rFonts w:cs="Arial"/>
          <w:sz w:val="23"/>
          <w:szCs w:val="23"/>
        </w:rPr>
        <w:t>Política</w:t>
      </w:r>
      <w:proofErr w:type="spellEnd"/>
      <w:r w:rsidR="0098245B" w:rsidRPr="00E61E11">
        <w:rPr>
          <w:rFonts w:cs="Arial"/>
          <w:sz w:val="23"/>
          <w:szCs w:val="23"/>
        </w:rPr>
        <w:t xml:space="preserve">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proofErr w:type="gramStart"/>
      <w:r w:rsidRPr="00E61E11">
        <w:rPr>
          <w:rFonts w:cs="Arial"/>
          <w:sz w:val="23"/>
          <w:szCs w:val="23"/>
        </w:rPr>
        <w:t>onCombatingBriberyofForeignPublicOfficials</w:t>
      </w:r>
      <w:proofErr w:type="spellEnd"/>
      <w:proofErr w:type="gram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w:t>
      </w:r>
      <w:r w:rsidRPr="00E61E11">
        <w:rPr>
          <w:rFonts w:cs="Arial"/>
          <w:sz w:val="23"/>
          <w:szCs w:val="23"/>
        </w:rPr>
        <w:lastRenderedPageBreak/>
        <w:t xml:space="preserve">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w:t>
      </w:r>
      <w:proofErr w:type="gramStart"/>
      <w:r w:rsidRPr="00E61E11">
        <w:rPr>
          <w:rFonts w:cs="Arial"/>
          <w:sz w:val="23"/>
          <w:szCs w:val="23"/>
        </w:rPr>
        <w:t>auditar</w:t>
      </w:r>
      <w:proofErr w:type="gramEnd"/>
      <w:r w:rsidRPr="00E61E11">
        <w:rPr>
          <w:rFonts w:cs="Arial"/>
          <w:sz w:val="23"/>
          <w:szCs w:val="23"/>
        </w:rPr>
        <w:t xml:space="preserve">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w:t>
      </w:r>
      <w:proofErr w:type="gramStart"/>
      <w:r w:rsidRPr="00E61E11">
        <w:rPr>
          <w:rFonts w:cs="Arial"/>
          <w:sz w:val="23"/>
          <w:szCs w:val="23"/>
        </w:rPr>
        <w:t xml:space="preserve">Aplicam-se, ainda, os princípios e normas estabelecidos no Código de Conduta e Integridade da CESAMA, disponível para consulta no site da CESAMA, no endereço eletrônico </w:t>
      </w:r>
      <w:hyperlink r:id="rId11" w:history="1">
        <w:r w:rsidR="00B7411B" w:rsidRPr="00FD2736">
          <w:rPr>
            <w:rStyle w:val="Hyperlink"/>
            <w:rFonts w:cs="Arial"/>
            <w:sz w:val="23"/>
            <w:szCs w:val="23"/>
          </w:rPr>
          <w:t>http://cesama.com.br/site/uploads/páginas_arquivos/124/15573469006.pdf</w:t>
        </w:r>
      </w:hyperlink>
      <w:r w:rsidRPr="00E61E11">
        <w:rPr>
          <w:rFonts w:cs="Arial"/>
          <w:sz w:val="23"/>
          <w:szCs w:val="23"/>
        </w:rPr>
        <w:t>eas disposições da Lei Federal nº 12.846 de 01/08/2013."</w:t>
      </w:r>
      <w:proofErr w:type="gramEnd"/>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w:t>
      </w:r>
      <w:proofErr w:type="gramStart"/>
      <w:r w:rsidRPr="00A35BAE">
        <w:rPr>
          <w:rFonts w:cs="Arial"/>
          <w:sz w:val="23"/>
          <w:szCs w:val="23"/>
        </w:rPr>
        <w:t>nº13.</w:t>
      </w:r>
      <w:proofErr w:type="gramEnd"/>
      <w:r w:rsidRPr="00A35BAE">
        <w:rPr>
          <w:rFonts w:cs="Arial"/>
          <w:sz w:val="23"/>
          <w:szCs w:val="23"/>
        </w:rPr>
        <w:t xml:space="preserve">709/2018, além das demais normas e políticas de proteção de dados de cada país onde houver qualquer tipo de tratamento dos dados dos clientes/pacientes desta. </w:t>
      </w:r>
    </w:p>
    <w:p w:rsidR="00A35BAE" w:rsidRP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No manuseio dos dados as partes deverão:</w:t>
      </w:r>
    </w:p>
    <w:p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A35BAE" w:rsidRPr="00A35BAE" w:rsidRDefault="00A35BAE" w:rsidP="00A35BAE">
      <w:pPr>
        <w:spacing w:before="120" w:line="360" w:lineRule="auto"/>
        <w:rPr>
          <w:rFonts w:cs="Arial"/>
          <w:sz w:val="23"/>
          <w:szCs w:val="23"/>
        </w:rPr>
      </w:pPr>
      <w:r w:rsidRPr="00A35BAE">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A35BAE" w:rsidRPr="00A35BAE" w:rsidRDefault="00A35BAE" w:rsidP="00A35BAE">
      <w:pPr>
        <w:spacing w:before="120" w:line="360" w:lineRule="auto"/>
        <w:rPr>
          <w:rFonts w:cs="Arial"/>
          <w:sz w:val="23"/>
          <w:szCs w:val="23"/>
        </w:rPr>
      </w:pPr>
      <w:r w:rsidRPr="00A35BAE">
        <w:rPr>
          <w:rFonts w:cs="Arial"/>
          <w:sz w:val="23"/>
          <w:szCs w:val="23"/>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A35BAE" w:rsidRPr="00A35BAE" w:rsidRDefault="00A35BAE" w:rsidP="00A35BAE">
      <w:pPr>
        <w:spacing w:before="120" w:line="360" w:lineRule="auto"/>
        <w:rPr>
          <w:rFonts w:cs="Arial"/>
          <w:sz w:val="23"/>
          <w:szCs w:val="23"/>
        </w:rPr>
      </w:pPr>
      <w:r w:rsidRPr="00A35BAE">
        <w:rPr>
          <w:rFonts w:cs="Arial"/>
          <w:sz w:val="23"/>
          <w:szCs w:val="23"/>
        </w:rPr>
        <w:t xml:space="preserve">10.3. As partes deverão </w:t>
      </w:r>
      <w:proofErr w:type="gramStart"/>
      <w:r w:rsidRPr="00A35BAE">
        <w:rPr>
          <w:rFonts w:cs="Arial"/>
          <w:sz w:val="23"/>
          <w:szCs w:val="23"/>
        </w:rPr>
        <w:t>garantir,</w:t>
      </w:r>
      <w:proofErr w:type="gramEnd"/>
      <w:r w:rsidRPr="00A35BAE">
        <w:rPr>
          <w:rFonts w:cs="Arial"/>
          <w:sz w:val="23"/>
          <w:szCs w:val="23"/>
        </w:rPr>
        <w:t xml:space="preserve"> por si própria ou quaisquer de seus empregados, prepostos, sócios, diretores, representantes ou terceiros contratados, a </w:t>
      </w:r>
      <w:r w:rsidRPr="00A35BAE">
        <w:rPr>
          <w:rFonts w:cs="Arial"/>
          <w:sz w:val="23"/>
          <w:szCs w:val="23"/>
        </w:rPr>
        <w:lastRenderedPageBreak/>
        <w:t>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proofErr w:type="gramStart"/>
      <w:r w:rsidRPr="00E61E11">
        <w:rPr>
          <w:rFonts w:cs="Arial"/>
          <w:sz w:val="23"/>
          <w:szCs w:val="23"/>
        </w:rPr>
        <w:t xml:space="preserve">, </w:t>
      </w:r>
      <w:r w:rsidR="00181FAF" w:rsidRPr="00E61E11">
        <w:rPr>
          <w:rFonts w:cs="Arial"/>
          <w:sz w:val="23"/>
          <w:szCs w:val="23"/>
        </w:rPr>
        <w:t>...</w:t>
      </w:r>
      <w:proofErr w:type="gramEnd"/>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Pr="00E61E11">
        <w:rPr>
          <w:rFonts w:cs="Arial"/>
          <w:sz w:val="23"/>
          <w:szCs w:val="23"/>
        </w:rPr>
        <w:t xml:space="preserve"> </w:t>
      </w:r>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2C7234">
        <w:trPr>
          <w:trHeight w:val="1287"/>
        </w:trPr>
        <w:tc>
          <w:tcPr>
            <w:tcW w:w="4535" w:type="dxa"/>
          </w:tcPr>
          <w:p w:rsidR="00CF4CE4" w:rsidRPr="00E61E11" w:rsidRDefault="00CF4CE4" w:rsidP="005263E2">
            <w:pPr>
              <w:jc w:val="center"/>
              <w:rPr>
                <w:rFonts w:cs="Arial"/>
                <w:sz w:val="23"/>
                <w:szCs w:val="23"/>
              </w:rPr>
            </w:pPr>
          </w:p>
          <w:p w:rsidR="00E61E11" w:rsidRDefault="00E61E11" w:rsidP="005263E2">
            <w:pPr>
              <w:jc w:val="center"/>
              <w:rPr>
                <w:rFonts w:cs="Arial"/>
                <w:sz w:val="23"/>
                <w:szCs w:val="23"/>
              </w:rPr>
            </w:pPr>
          </w:p>
          <w:p w:rsidR="0004602D" w:rsidRPr="00E61E11" w:rsidRDefault="0004602D"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Default="00CF4CE4" w:rsidP="005263E2">
            <w:pPr>
              <w:jc w:val="center"/>
              <w:rPr>
                <w:rFonts w:cs="Arial"/>
                <w:sz w:val="23"/>
                <w:szCs w:val="23"/>
              </w:rPr>
            </w:pPr>
          </w:p>
          <w:p w:rsidR="0004602D" w:rsidRPr="00E61E11" w:rsidRDefault="0004602D" w:rsidP="005263E2">
            <w:pPr>
              <w:jc w:val="center"/>
              <w:rPr>
                <w:rFonts w:cs="Arial"/>
                <w:sz w:val="23"/>
                <w:szCs w:val="23"/>
              </w:rPr>
            </w:pPr>
          </w:p>
          <w:p w:rsidR="0004602D" w:rsidRDefault="0004602D" w:rsidP="002C7234">
            <w:pPr>
              <w:jc w:val="center"/>
              <w:rPr>
                <w:rFonts w:cs="Arial"/>
                <w:sz w:val="23"/>
                <w:szCs w:val="23"/>
              </w:rPr>
            </w:pPr>
            <w:r>
              <w:rPr>
                <w:rFonts w:cs="Arial"/>
                <w:sz w:val="23"/>
                <w:szCs w:val="23"/>
              </w:rPr>
              <w:t xml:space="preserve">Renato Muller da Silva </w:t>
            </w:r>
            <w:proofErr w:type="spellStart"/>
            <w:r>
              <w:rPr>
                <w:rFonts w:cs="Arial"/>
                <w:sz w:val="23"/>
                <w:szCs w:val="23"/>
              </w:rPr>
              <w:t>Opice</w:t>
            </w:r>
            <w:proofErr w:type="spellEnd"/>
            <w:r>
              <w:rPr>
                <w:rFonts w:cs="Arial"/>
                <w:sz w:val="23"/>
                <w:szCs w:val="23"/>
              </w:rPr>
              <w:t xml:space="preserve"> </w:t>
            </w:r>
            <w:proofErr w:type="spellStart"/>
            <w:r>
              <w:rPr>
                <w:rFonts w:cs="Arial"/>
                <w:sz w:val="23"/>
                <w:szCs w:val="23"/>
              </w:rPr>
              <w:t>Blum</w:t>
            </w:r>
            <w:proofErr w:type="spellEnd"/>
          </w:p>
          <w:p w:rsidR="003D377B" w:rsidRPr="002C7234" w:rsidRDefault="0004602D" w:rsidP="002C7234">
            <w:pPr>
              <w:jc w:val="center"/>
              <w:rPr>
                <w:rFonts w:cs="Arial"/>
                <w:sz w:val="23"/>
                <w:szCs w:val="23"/>
              </w:rPr>
            </w:pPr>
            <w:proofErr w:type="spellStart"/>
            <w:r w:rsidRPr="0004602D">
              <w:rPr>
                <w:rFonts w:cs="Arial"/>
                <w:sz w:val="23"/>
                <w:szCs w:val="23"/>
              </w:rPr>
              <w:t>Opice</w:t>
            </w:r>
            <w:proofErr w:type="spellEnd"/>
            <w:r w:rsidRPr="0004602D">
              <w:rPr>
                <w:rFonts w:cs="Arial"/>
                <w:sz w:val="23"/>
                <w:szCs w:val="23"/>
              </w:rPr>
              <w:t xml:space="preserve"> </w:t>
            </w:r>
            <w:proofErr w:type="spellStart"/>
            <w:r w:rsidRPr="0004602D">
              <w:rPr>
                <w:rFonts w:cs="Arial"/>
                <w:sz w:val="23"/>
                <w:szCs w:val="23"/>
              </w:rPr>
              <w:t>Blum</w:t>
            </w:r>
            <w:proofErr w:type="spellEnd"/>
            <w:r w:rsidRPr="0004602D">
              <w:rPr>
                <w:rFonts w:cs="Arial"/>
                <w:sz w:val="23"/>
                <w:szCs w:val="23"/>
              </w:rPr>
              <w:t xml:space="preserve"> </w:t>
            </w:r>
            <w:proofErr w:type="spellStart"/>
            <w:r w:rsidRPr="0004602D">
              <w:rPr>
                <w:rFonts w:cs="Arial"/>
                <w:sz w:val="23"/>
                <w:szCs w:val="23"/>
              </w:rPr>
              <w:t>Academy</w:t>
            </w:r>
            <w:proofErr w:type="spellEnd"/>
            <w:r w:rsidRPr="0004602D">
              <w:rPr>
                <w:rFonts w:cs="Arial"/>
                <w:sz w:val="23"/>
                <w:szCs w:val="23"/>
              </w:rPr>
              <w:t xml:space="preserve"> Treinamento E Consultoria </w:t>
            </w:r>
            <w:proofErr w:type="spellStart"/>
            <w:r w:rsidRPr="0004602D">
              <w:rPr>
                <w:rFonts w:cs="Arial"/>
                <w:sz w:val="23"/>
                <w:szCs w:val="23"/>
              </w:rPr>
              <w:t>Ltda</w:t>
            </w:r>
            <w:proofErr w:type="spellEnd"/>
          </w:p>
        </w:tc>
      </w:tr>
      <w:tr w:rsidR="002C7234" w:rsidRPr="00E61E11" w:rsidTr="006F5587">
        <w:trPr>
          <w:trHeight w:val="1287"/>
        </w:trPr>
        <w:tc>
          <w:tcPr>
            <w:tcW w:w="4535" w:type="dxa"/>
          </w:tcPr>
          <w:p w:rsidR="002C7234" w:rsidRPr="00E61E11" w:rsidRDefault="002C7234" w:rsidP="006F5587">
            <w:pPr>
              <w:jc w:val="center"/>
              <w:rPr>
                <w:rFonts w:cs="Arial"/>
                <w:sz w:val="23"/>
                <w:szCs w:val="23"/>
              </w:rPr>
            </w:pPr>
          </w:p>
          <w:p w:rsidR="002C7234" w:rsidRPr="00E61E11" w:rsidRDefault="002C7234" w:rsidP="006F5587">
            <w:pPr>
              <w:jc w:val="center"/>
              <w:rPr>
                <w:rFonts w:cs="Arial"/>
                <w:sz w:val="23"/>
                <w:szCs w:val="23"/>
              </w:rPr>
            </w:pPr>
          </w:p>
        </w:tc>
        <w:tc>
          <w:tcPr>
            <w:tcW w:w="4537" w:type="dxa"/>
          </w:tcPr>
          <w:p w:rsidR="002C7234" w:rsidRPr="00E61E11" w:rsidRDefault="002C7234" w:rsidP="006F5587">
            <w:pPr>
              <w:jc w:val="center"/>
              <w:rPr>
                <w:rFonts w:cs="Arial"/>
                <w:sz w:val="23"/>
                <w:szCs w:val="23"/>
              </w:rPr>
            </w:pPr>
          </w:p>
          <w:p w:rsidR="002C7234" w:rsidRDefault="002C7234" w:rsidP="006F5587">
            <w:pPr>
              <w:jc w:val="center"/>
              <w:rPr>
                <w:rFonts w:cs="Arial"/>
                <w:sz w:val="23"/>
                <w:szCs w:val="23"/>
                <w:lang w:eastAsia="pt-BR"/>
              </w:rPr>
            </w:pPr>
          </w:p>
          <w:p w:rsidR="002C7234" w:rsidRPr="002C7234" w:rsidRDefault="002C7234" w:rsidP="006F5587">
            <w:pPr>
              <w:jc w:val="center"/>
              <w:rPr>
                <w:rFonts w:cs="Arial"/>
                <w:sz w:val="23"/>
                <w:szCs w:val="23"/>
              </w:rPr>
            </w:pPr>
          </w:p>
        </w:tc>
      </w:tr>
    </w:tbl>
    <w:p w:rsidR="002C7234" w:rsidRDefault="002C723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2"/>
      <w:headerReference w:type="default" r:id="rId13"/>
      <w:footerReference w:type="default" r:id="rId14"/>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414BDA" w:rsidP="00DE104B">
    <w:pPr>
      <w:pStyle w:val="Cabealho"/>
      <w:tabs>
        <w:tab w:val="center" w:pos="4535"/>
        <w:tab w:val="left" w:pos="5775"/>
      </w:tabs>
      <w:jc w:val="center"/>
      <w:rPr>
        <w:rFonts w:cs="Arial"/>
        <w:b/>
        <w:color w:val="AEAAAA"/>
        <w:sz w:val="16"/>
        <w:szCs w:val="16"/>
      </w:rPr>
    </w:pPr>
    <w:r w:rsidRPr="00414BDA">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5427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 xml:space="preserve">Companhia de Saneamento Municipal – </w:t>
    </w:r>
    <w:proofErr w:type="spellStart"/>
    <w:r w:rsidR="009948F7" w:rsidRPr="00262B4E">
      <w:rPr>
        <w:rFonts w:cs="Arial"/>
        <w:b/>
        <w:color w:val="AEAAAA"/>
        <w:sz w:val="16"/>
        <w:szCs w:val="16"/>
      </w:rPr>
      <w:t>Cesama</w:t>
    </w:r>
    <w:proofErr w:type="spellEnd"/>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414BDA">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A16B9"/>
    <w:multiLevelType w:val="multilevel"/>
    <w:tmpl w:val="DEAC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3">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9"/>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5"/>
    <o:shapelayout v:ext="edit">
      <o:idmap v:ext="edit" data="5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02D"/>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E57"/>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2406"/>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16785"/>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448D"/>
    <w:rsid w:val="002C5C45"/>
    <w:rsid w:val="002C5C80"/>
    <w:rsid w:val="002C66E3"/>
    <w:rsid w:val="002C6AB8"/>
    <w:rsid w:val="002C7234"/>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39D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DA"/>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41DE"/>
    <w:rsid w:val="0045681F"/>
    <w:rsid w:val="00460C81"/>
    <w:rsid w:val="00461FC4"/>
    <w:rsid w:val="00466E6D"/>
    <w:rsid w:val="00467B6C"/>
    <w:rsid w:val="004707F9"/>
    <w:rsid w:val="00471FD7"/>
    <w:rsid w:val="0048292F"/>
    <w:rsid w:val="00484381"/>
    <w:rsid w:val="00484E5D"/>
    <w:rsid w:val="00491C2E"/>
    <w:rsid w:val="004946F8"/>
    <w:rsid w:val="00497CF5"/>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74FA1"/>
    <w:rsid w:val="005804CF"/>
    <w:rsid w:val="00581250"/>
    <w:rsid w:val="005815CC"/>
    <w:rsid w:val="00583213"/>
    <w:rsid w:val="005841E4"/>
    <w:rsid w:val="00586869"/>
    <w:rsid w:val="005949D5"/>
    <w:rsid w:val="00597ED3"/>
    <w:rsid w:val="005A43D2"/>
    <w:rsid w:val="005A7390"/>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3E6"/>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27226"/>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9C3"/>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745D8"/>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94E"/>
    <w:rsid w:val="00A14B6F"/>
    <w:rsid w:val="00A1513F"/>
    <w:rsid w:val="00A20E04"/>
    <w:rsid w:val="00A21ADF"/>
    <w:rsid w:val="00A23B56"/>
    <w:rsid w:val="00A31998"/>
    <w:rsid w:val="00A3325C"/>
    <w:rsid w:val="00A359CD"/>
    <w:rsid w:val="00A35BAE"/>
    <w:rsid w:val="00A47B8D"/>
    <w:rsid w:val="00A47ECC"/>
    <w:rsid w:val="00A51DBE"/>
    <w:rsid w:val="00A541AF"/>
    <w:rsid w:val="00A55A08"/>
    <w:rsid w:val="00A6752F"/>
    <w:rsid w:val="00A7009C"/>
    <w:rsid w:val="00A70ADD"/>
    <w:rsid w:val="00A763BF"/>
    <w:rsid w:val="00A76B0B"/>
    <w:rsid w:val="00A77A69"/>
    <w:rsid w:val="00A84D87"/>
    <w:rsid w:val="00A8520C"/>
    <w:rsid w:val="00A92066"/>
    <w:rsid w:val="00A93AA2"/>
    <w:rsid w:val="00A97591"/>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411B"/>
    <w:rsid w:val="00B7647A"/>
    <w:rsid w:val="00B7721A"/>
    <w:rsid w:val="00B86D5E"/>
    <w:rsid w:val="00B877C1"/>
    <w:rsid w:val="00B877D1"/>
    <w:rsid w:val="00B9099B"/>
    <w:rsid w:val="00B922BA"/>
    <w:rsid w:val="00B94EAE"/>
    <w:rsid w:val="00BA11A5"/>
    <w:rsid w:val="00BA17A8"/>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138"/>
    <w:rsid w:val="00BD3B3B"/>
    <w:rsid w:val="00BD5FE7"/>
    <w:rsid w:val="00BD6783"/>
    <w:rsid w:val="00BD74C9"/>
    <w:rsid w:val="00BE5C2C"/>
    <w:rsid w:val="00BE7BDB"/>
    <w:rsid w:val="00BF0C38"/>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DCD"/>
    <w:rsid w:val="00DC0E31"/>
    <w:rsid w:val="00DC6FAD"/>
    <w:rsid w:val="00DD002E"/>
    <w:rsid w:val="00DD2B89"/>
    <w:rsid w:val="00DD46BF"/>
    <w:rsid w:val="00DD5DD3"/>
    <w:rsid w:val="00DD7027"/>
    <w:rsid w:val="00DD7EF2"/>
    <w:rsid w:val="00DE104B"/>
    <w:rsid w:val="00DE135D"/>
    <w:rsid w:val="00DE2C06"/>
    <w:rsid w:val="00DE2FDD"/>
    <w:rsid w:val="00DE3DB2"/>
    <w:rsid w:val="00DF0770"/>
    <w:rsid w:val="00DF7B89"/>
    <w:rsid w:val="00DF7E72"/>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EF7E60"/>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UnresolvedMention">
    <w:name w:val="Unresolved Mention"/>
    <w:basedOn w:val="Fontepargpadro"/>
    <w:uiPriority w:val="99"/>
    <w:semiHidden/>
    <w:unhideWhenUsed/>
    <w:rsid w:val="00C92D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991182232">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iceblumacademy.engaged.com.br/turma/curso-cdpo-br-iapp/turma-i-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treinamento@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4149</Words>
  <Characters>22405</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6</cp:revision>
  <cp:lastPrinted>2022-01-11T13:25:00Z</cp:lastPrinted>
  <dcterms:created xsi:type="dcterms:W3CDTF">2022-01-31T14:48:00Z</dcterms:created>
  <dcterms:modified xsi:type="dcterms:W3CDTF">2022-02-01T20:15:00Z</dcterms:modified>
</cp:coreProperties>
</file>